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100965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2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40" w:hanging="3859"/>
        <w:spacing w:after="0" w:line="383" w:lineRule="auto"/>
        <w:tabs>
          <w:tab w:leader="none" w:pos="488"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2023</w:t>
      </w: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158" w:lineRule="exact"/>
        <w:rPr>
          <w:sz w:val="24"/>
          <w:szCs w:val="24"/>
          <w:color w:val="auto"/>
        </w:rPr>
      </w:pPr>
    </w:p>
    <w:p>
      <w:pPr>
        <w:ind w:left="3340" w:right="1620" w:hanging="3319"/>
        <w:spacing w:after="0" w:line="383" w:lineRule="auto"/>
        <w:tabs>
          <w:tab w:leader="none" w:pos="504"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 to ____________</w:t>
      </w:r>
    </w:p>
    <w:p>
      <w:pPr>
        <w:ind w:left="420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001-40587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94615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SIGHT SCIENCES, INC.</w:t>
      </w:r>
    </w:p>
    <w:p>
      <w:pPr>
        <w:sectPr>
          <w:pgSz w:w="11900" w:h="16838" w:orient="portrait"/>
          <w:cols w:equalWidth="0" w:num="1">
            <w:col w:w="11240"/>
          </w:cols>
          <w:pgMar w:left="320" w:top="854" w:right="339" w:bottom="1440" w:gutter="0" w:footer="0" w:header="0"/>
        </w:sectPr>
      </w:pP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6"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2040"/>
        <w:spacing w:after="0"/>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12"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4040 Campbell Ave, Suite 100</w:t>
      </w:r>
    </w:p>
    <w:p>
      <w:pPr>
        <w:spacing w:after="0" w:line="50"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Menlo Park,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3"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80-0625749</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276" w:lineRule="exact"/>
        <w:rPr>
          <w:sz w:val="24"/>
          <w:szCs w:val="24"/>
          <w:color w:val="auto"/>
        </w:rPr>
      </w:pPr>
    </w:p>
    <w:p>
      <w:pPr>
        <w:ind w:left="260"/>
        <w:spacing w:after="0"/>
        <w:rPr>
          <w:sz w:val="20"/>
          <w:szCs w:val="20"/>
          <w:color w:val="auto"/>
        </w:rPr>
      </w:pPr>
      <w:r>
        <w:rPr>
          <w:rFonts w:ascii="Arial" w:cs="Arial" w:eastAsia="Arial" w:hAnsi="Arial"/>
          <w:sz w:val="18"/>
          <w:szCs w:val="18"/>
          <w:b w:val="1"/>
          <w:bCs w:val="1"/>
          <w:color w:val="auto"/>
        </w:rPr>
        <w:t>94025</w:t>
      </w:r>
    </w:p>
    <w:p>
      <w:pPr>
        <w:spacing w:after="0" w:line="36" w:lineRule="exact"/>
        <w:rPr>
          <w:sz w:val="24"/>
          <w:szCs w:val="24"/>
          <w:color w:val="auto"/>
        </w:rPr>
      </w:pPr>
    </w:p>
    <w:p>
      <w:pPr>
        <w:sectPr>
          <w:pgSz w:w="11900" w:h="16838" w:orient="portrait"/>
          <w:cols w:equalWidth="0" w:num="2">
            <w:col w:w="7700" w:space="240"/>
            <w:col w:w="3300"/>
          </w:cols>
          <w:pgMar w:left="320" w:top="854" w:right="339" w:bottom="1440" w:gutter="0" w:footer="0" w:header="0"/>
          <w:type w:val="continuous"/>
        </w:sectPr>
      </w:pPr>
    </w:p>
    <w:p>
      <w:pPr>
        <w:ind w:left="1780"/>
        <w:spacing w:after="0"/>
        <w:tabs>
          <w:tab w:leader="none" w:pos="812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6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(877) 266-1144</w:t>
      </w:r>
    </w:p>
    <w:p>
      <w:pPr>
        <w:spacing w:after="0" w:line="77"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246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95"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40" w:type="dxa"/>
            <w:vAlign w:val="bottom"/>
          </w:tcPr>
          <w:p>
            <w:pPr>
              <w:spacing w:after="0"/>
              <w:rPr>
                <w:sz w:val="14"/>
                <w:szCs w:val="14"/>
                <w:color w:val="auto"/>
              </w:rPr>
            </w:pPr>
          </w:p>
        </w:tc>
        <w:tc>
          <w:tcPr>
            <w:tcW w:w="5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2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40" w:type="dxa"/>
            <w:vAlign w:val="bottom"/>
          </w:tcPr>
          <w:p>
            <w:pPr>
              <w:spacing w:after="0"/>
              <w:rPr>
                <w:sz w:val="16"/>
                <w:szCs w:val="16"/>
                <w:color w:val="auto"/>
              </w:rPr>
            </w:pPr>
          </w:p>
        </w:tc>
        <w:tc>
          <w:tcPr>
            <w:tcW w:w="5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1"/>
              </w:rPr>
              <w:t>Common Stock, par value $0.001</w:t>
            </w:r>
          </w:p>
        </w:tc>
        <w:tc>
          <w:tcPr>
            <w:tcW w:w="16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4"/>
              </w:rPr>
              <w:t>SGHT</w:t>
            </w:r>
          </w:p>
        </w:tc>
        <w:tc>
          <w:tcPr>
            <w:tcW w:w="140" w:type="dxa"/>
            <w:vAlign w:val="bottom"/>
          </w:tcPr>
          <w:p>
            <w:pPr>
              <w:spacing w:after="0"/>
              <w:rPr>
                <w:sz w:val="17"/>
                <w:szCs w:val="17"/>
                <w:color w:val="auto"/>
              </w:rPr>
            </w:pPr>
          </w:p>
        </w:tc>
        <w:tc>
          <w:tcPr>
            <w:tcW w:w="5020" w:type="dxa"/>
            <w:vAlign w:val="bottom"/>
          </w:tcPr>
          <w:p>
            <w:pPr>
              <w:jc w:val="center"/>
              <w:spacing w:after="0"/>
              <w:rPr>
                <w:sz w:val="20"/>
                <w:szCs w:val="20"/>
                <w:color w:val="auto"/>
              </w:rPr>
            </w:pPr>
            <w:r>
              <w:rPr>
                <w:rFonts w:ascii="Arial" w:cs="Arial" w:eastAsia="Arial" w:hAnsi="Arial"/>
                <w:sz w:val="16"/>
                <w:szCs w:val="16"/>
                <w:color w:val="auto"/>
                <w:w w:val="92"/>
              </w:rPr>
              <w:t>The Nasdaq Global Select Market</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firstLine="599"/>
        <w:spacing w:after="0" w:line="21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8" w:lineRule="exact"/>
        <w:rPr>
          <w:sz w:val="24"/>
          <w:szCs w:val="24"/>
          <w:color w:val="auto"/>
        </w:rPr>
      </w:pPr>
    </w:p>
    <w:p>
      <w:pPr>
        <w:ind w:right="100" w:firstLine="599"/>
        <w:spacing w:after="0" w:line="218"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8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08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65" w:lineRule="exact"/>
        <w:rPr>
          <w:sz w:val="24"/>
          <w:szCs w:val="24"/>
          <w:color w:val="auto"/>
        </w:rPr>
      </w:pPr>
    </w:p>
    <w:p>
      <w:pPr>
        <w:ind w:right="500" w:firstLine="599"/>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2080"/>
        <w:spacing w:after="0" w:line="26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1, 2023, the registrant had 48,651,074 shares of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8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3880" w:type="dxa"/>
            <w:vAlign w:val="bottom"/>
            <w:tcBorders>
              <w:bottom w:val="single" w:sz="8" w:color="0563C1"/>
            </w:tcBorders>
            <w:gridSpan w:val="11"/>
          </w:tcPr>
          <w:p>
            <w:pPr>
              <w:spacing w:after="0" w:line="182" w:lineRule="exact"/>
              <w:rPr>
                <w:sz w:val="20"/>
                <w:szCs w:val="20"/>
                <w:color w:val="auto"/>
              </w:rPr>
            </w:pPr>
            <w:r>
              <w:rPr>
                <w:rFonts w:ascii="Arial" w:cs="Arial" w:eastAsia="Arial" w:hAnsi="Arial"/>
                <w:sz w:val="18"/>
                <w:szCs w:val="18"/>
                <w:color w:val="0563C1"/>
                <w:w w:val="90"/>
              </w:rPr>
              <w:t>Special Note Regarding Forward-Looking Statements</w:t>
            </w:r>
          </w:p>
        </w:tc>
        <w:tc>
          <w:tcPr>
            <w:tcW w:w="5380" w:type="dxa"/>
            <w:vAlign w:val="bottom"/>
            <w:gridSpan w:val="8"/>
          </w:tcPr>
          <w:p>
            <w:pPr>
              <w:spacing w:after="0"/>
              <w:rPr>
                <w:sz w:val="15"/>
                <w:szCs w:val="15"/>
                <w:color w:val="auto"/>
              </w:rPr>
            </w:pPr>
          </w:p>
        </w:tc>
        <w:tc>
          <w:tcPr>
            <w:tcW w:w="800" w:type="dxa"/>
            <w:vAlign w:val="bottom"/>
          </w:tcPr>
          <w:p>
            <w:pPr>
              <w:jc w:val="center"/>
              <w:spacing w:after="0" w:line="183" w:lineRule="exact"/>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466"/>
        </w:trPr>
        <w:tc>
          <w:tcPr>
            <w:tcW w:w="118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260" w:type="dxa"/>
            <w:vAlign w:val="bottom"/>
            <w:gridSpan w:val="19"/>
          </w:tcPr>
          <w:p>
            <w:pPr>
              <w:spacing w:after="0"/>
              <w:rPr>
                <w:sz w:val="20"/>
                <w:szCs w:val="20"/>
                <w:color w:val="auto"/>
              </w:rPr>
            </w:pPr>
            <w:r>
              <w:rPr>
                <w:rFonts w:ascii="Arial" w:cs="Arial" w:eastAsia="Arial" w:hAnsi="Arial"/>
                <w:sz w:val="18"/>
                <w:szCs w:val="18"/>
                <w:color w:val="0563C1"/>
              </w:rPr>
              <w:t>FINANCIAL INFORMATION</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4260" w:type="dxa"/>
            <w:vAlign w:val="bottom"/>
            <w:tcBorders>
              <w:bottom w:val="single" w:sz="8" w:color="0563C1"/>
            </w:tcBorders>
            <w:gridSpan w:val="12"/>
          </w:tcPr>
          <w:p>
            <w:pPr>
              <w:spacing w:after="0"/>
              <w:rPr>
                <w:sz w:val="20"/>
                <w:szCs w:val="20"/>
                <w:color w:val="auto"/>
              </w:rPr>
            </w:pPr>
            <w:r>
              <w:rPr>
                <w:rFonts w:ascii="Arial" w:cs="Arial" w:eastAsia="Arial" w:hAnsi="Arial"/>
                <w:sz w:val="18"/>
                <w:szCs w:val="18"/>
                <w:color w:val="0563C1"/>
                <w:w w:val="89"/>
              </w:rPr>
              <w:t>Condensed Consolidated Financial Statements (Unaudited)</w:t>
            </w:r>
          </w:p>
        </w:tc>
        <w:tc>
          <w:tcPr>
            <w:tcW w:w="500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563C1"/>
              </w:rPr>
              <w:t>Condensed Consolidated Balance Sheets (Unaudited)</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5</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1520" w:type="dxa"/>
            <w:vAlign w:val="bottom"/>
            <w:shd w:val="clear" w:color="auto" w:fill="0563C1"/>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spacing w:after="0"/>
              <w:rPr>
                <w:sz w:val="19"/>
                <w:szCs w:val="19"/>
                <w:color w:val="auto"/>
              </w:rPr>
            </w:pPr>
          </w:p>
        </w:tc>
        <w:tc>
          <w:tcPr>
            <w:tcW w:w="6440" w:type="dxa"/>
            <w:vAlign w:val="bottom"/>
            <w:tcBorders>
              <w:bottom w:val="single" w:sz="8" w:color="0563C1"/>
            </w:tcBorders>
            <w:gridSpan w:val="18"/>
          </w:tcPr>
          <w:p>
            <w:pPr>
              <w:spacing w:after="0"/>
              <w:rPr>
                <w:sz w:val="20"/>
                <w:szCs w:val="20"/>
                <w:color w:val="auto"/>
              </w:rPr>
            </w:pPr>
            <w:r>
              <w:rPr>
                <w:rFonts w:ascii="Arial" w:cs="Arial" w:eastAsia="Arial" w:hAnsi="Arial"/>
                <w:sz w:val="18"/>
                <w:szCs w:val="18"/>
                <w:color w:val="0563C1"/>
                <w:w w:val="89"/>
              </w:rPr>
              <w:t>Condensed Consolidated Statements of Operations and Comprehensive Loss (Unaudited)</w:t>
            </w:r>
          </w:p>
        </w:tc>
        <w:tc>
          <w:tcPr>
            <w:tcW w:w="28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563C1"/>
              </w:rPr>
              <w:t>Condensed Consolidated Statements of Stockholders’ Equity (Unaudited)</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5280" w:type="dxa"/>
            <w:vAlign w:val="bottom"/>
            <w:tcBorders>
              <w:top w:val="single" w:sz="8" w:color="0563C1"/>
            </w:tcBorders>
            <w:gridSpan w:val="17"/>
          </w:tcPr>
          <w:p>
            <w:pPr>
              <w:spacing w:after="0"/>
              <w:rPr>
                <w:sz w:val="20"/>
                <w:szCs w:val="20"/>
                <w:color w:val="auto"/>
              </w:rPr>
            </w:pPr>
            <w:r>
              <w:rPr>
                <w:rFonts w:ascii="Arial" w:cs="Arial" w:eastAsia="Arial" w:hAnsi="Arial"/>
                <w:sz w:val="18"/>
                <w:szCs w:val="18"/>
                <w:color w:val="0563C1"/>
              </w:rPr>
              <w:t>Condensed Consolidated Statements of Cash Flows (Unaudited)</w:t>
            </w:r>
          </w:p>
        </w:tc>
        <w:tc>
          <w:tcPr>
            <w:tcW w:w="3980" w:type="dxa"/>
            <w:vAlign w:val="bottom"/>
            <w:gridSpan w:val="2"/>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26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9260" w:type="dxa"/>
            <w:vAlign w:val="bottom"/>
            <w:gridSpan w:val="19"/>
          </w:tcPr>
          <w:p>
            <w:pPr>
              <w:spacing w:after="0"/>
              <w:rPr>
                <w:sz w:val="20"/>
                <w:szCs w:val="20"/>
                <w:color w:val="auto"/>
              </w:rPr>
            </w:pPr>
            <w:r>
              <w:rPr>
                <w:rFonts w:ascii="Arial" w:cs="Arial" w:eastAsia="Arial" w:hAnsi="Arial"/>
                <w:sz w:val="18"/>
                <w:szCs w:val="18"/>
                <w:color w:val="0563C1"/>
              </w:rPr>
              <w:t>Notes to Condensed Consolidated Financial Statements (Unaudited)</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440" w:type="dxa"/>
            <w:vAlign w:val="bottom"/>
            <w:gridSpan w:val="2"/>
            <w:shd w:val="clear" w:color="auto" w:fill="0563C1"/>
          </w:tcPr>
          <w:p>
            <w:pPr>
              <w:spacing w:after="0" w:line="20" w:lineRule="exact"/>
              <w:rPr>
                <w:sz w:val="1"/>
                <w:szCs w:val="1"/>
                <w:color w:val="auto"/>
              </w:rPr>
            </w:pPr>
          </w:p>
        </w:tc>
        <w:tc>
          <w:tcPr>
            <w:tcW w:w="2020" w:type="dxa"/>
            <w:vAlign w:val="bottom"/>
            <w:gridSpan w:val="4"/>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540" w:type="dxa"/>
            <w:vAlign w:val="bottom"/>
            <w:gridSpan w:val="2"/>
            <w:shd w:val="clear" w:color="auto" w:fill="0563C1"/>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9260" w:type="dxa"/>
            <w:vAlign w:val="bottom"/>
            <w:gridSpan w:val="19"/>
          </w:tcPr>
          <w:p>
            <w:pPr>
              <w:spacing w:after="0"/>
              <w:rPr>
                <w:sz w:val="20"/>
                <w:szCs w:val="20"/>
                <w:color w:val="auto"/>
              </w:rPr>
            </w:pPr>
            <w:r>
              <w:rPr>
                <w:rFonts w:ascii="Arial" w:cs="Arial" w:eastAsia="Arial" w:hAnsi="Arial"/>
                <w:sz w:val="18"/>
                <w:szCs w:val="18"/>
                <w:color w:val="0563C1"/>
              </w:rPr>
              <w:t>Management’s Discussion and Analysis of Financial Condition and Results of Operations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22</w:t>
            </w: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563C1"/>
              <w:bottom w:val="single" w:sz="8" w:color="0563C1"/>
            </w:tcBorders>
            <w:gridSpan w:val="14"/>
          </w:tcPr>
          <w:p>
            <w:pPr>
              <w:spacing w:after="0"/>
              <w:rPr>
                <w:sz w:val="20"/>
                <w:szCs w:val="20"/>
                <w:color w:val="auto"/>
              </w:rPr>
            </w:pPr>
            <w:r>
              <w:rPr>
                <w:rFonts w:ascii="Arial" w:cs="Arial" w:eastAsia="Arial" w:hAnsi="Arial"/>
                <w:sz w:val="18"/>
                <w:szCs w:val="18"/>
                <w:color w:val="0563C1"/>
                <w:w w:val="92"/>
              </w:rPr>
              <w:t>Quantitative and Qualitative Disclosures About Market Risk</w:t>
            </w:r>
          </w:p>
        </w:tc>
        <w:tc>
          <w:tcPr>
            <w:tcW w:w="2080" w:type="dxa"/>
            <w:vAlign w:val="bottom"/>
            <w:tcBorders>
              <w:top w:val="single" w:sz="8" w:color="0563C1"/>
            </w:tcBorders>
            <w:gridSpan w:val="4"/>
          </w:tcPr>
          <w:p>
            <w:pPr>
              <w:spacing w:after="0"/>
              <w:rPr>
                <w:sz w:val="19"/>
                <w:szCs w:val="19"/>
                <w:color w:val="auto"/>
              </w:rPr>
            </w:pPr>
          </w:p>
        </w:tc>
        <w:tc>
          <w:tcPr>
            <w:tcW w:w="282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9260" w:type="dxa"/>
            <w:vAlign w:val="bottom"/>
            <w:gridSpan w:val="19"/>
          </w:tcPr>
          <w:p>
            <w:pPr>
              <w:spacing w:after="0"/>
              <w:rPr>
                <w:sz w:val="20"/>
                <w:szCs w:val="20"/>
                <w:color w:val="auto"/>
              </w:rPr>
            </w:pPr>
            <w:r>
              <w:rPr>
                <w:rFonts w:ascii="Arial" w:cs="Arial" w:eastAsia="Arial" w:hAnsi="Arial"/>
                <w:sz w:val="18"/>
                <w:szCs w:val="18"/>
                <w:color w:val="0563C1"/>
              </w:rPr>
              <w:t>Controls and Procedures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563C1"/>
          </w:tcPr>
          <w:p>
            <w:pPr>
              <w:spacing w:after="0" w:line="20" w:lineRule="exact"/>
              <w:rPr>
                <w:sz w:val="1"/>
                <w:szCs w:val="1"/>
                <w:color w:val="auto"/>
              </w:rPr>
            </w:pPr>
          </w:p>
        </w:tc>
        <w:tc>
          <w:tcPr>
            <w:tcW w:w="160" w:type="dxa"/>
            <w:vAlign w:val="bottom"/>
            <w:shd w:val="clear" w:color="auto" w:fill="0563C1"/>
          </w:tcPr>
          <w:p>
            <w:pPr>
              <w:spacing w:after="0" w:line="20" w:lineRule="exact"/>
              <w:rPr>
                <w:sz w:val="1"/>
                <w:szCs w:val="1"/>
                <w:color w:val="auto"/>
              </w:rPr>
            </w:pPr>
          </w:p>
        </w:tc>
        <w:tc>
          <w:tcPr>
            <w:tcW w:w="140" w:type="dxa"/>
            <w:vAlign w:val="bottom"/>
            <w:shd w:val="clear" w:color="auto" w:fill="0563C1"/>
          </w:tcPr>
          <w:p>
            <w:pPr>
              <w:spacing w:after="0" w:line="20" w:lineRule="exact"/>
              <w:rPr>
                <w:sz w:val="1"/>
                <w:szCs w:val="1"/>
                <w:color w:val="auto"/>
              </w:rPr>
            </w:pPr>
          </w:p>
        </w:tc>
        <w:tc>
          <w:tcPr>
            <w:tcW w:w="40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440" w:type="dxa"/>
            <w:vAlign w:val="bottom"/>
            <w:shd w:val="clear" w:color="auto" w:fill="0563C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180" w:type="dxa"/>
            <w:vAlign w:val="bottom"/>
            <w:vMerge w:val="continue"/>
          </w:tcPr>
          <w:p>
            <w:pPr>
              <w:spacing w:after="0"/>
              <w:rPr>
                <w:sz w:val="24"/>
                <w:szCs w:val="24"/>
                <w:color w:val="auto"/>
              </w:rPr>
            </w:pPr>
          </w:p>
        </w:tc>
        <w:tc>
          <w:tcPr>
            <w:tcW w:w="1880" w:type="dxa"/>
            <w:vAlign w:val="bottom"/>
            <w:tcBorders>
              <w:bottom w:val="single" w:sz="8" w:color="0563C1"/>
            </w:tcBorders>
            <w:gridSpan w:val="7"/>
          </w:tcPr>
          <w:p>
            <w:pPr>
              <w:spacing w:after="0"/>
              <w:rPr>
                <w:sz w:val="20"/>
                <w:szCs w:val="20"/>
                <w:color w:val="auto"/>
              </w:rPr>
            </w:pPr>
            <w:r>
              <w:rPr>
                <w:rFonts w:ascii="Arial" w:cs="Arial" w:eastAsia="Arial" w:hAnsi="Arial"/>
                <w:sz w:val="18"/>
                <w:szCs w:val="18"/>
                <w:color w:val="0563C1"/>
                <w:w w:val="95"/>
              </w:rPr>
              <w:t>OTHER INFORMATION</w:t>
            </w:r>
          </w:p>
        </w:tc>
        <w:tc>
          <w:tcPr>
            <w:tcW w:w="7380" w:type="dxa"/>
            <w:vAlign w:val="bottom"/>
            <w:gridSpan w:val="1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0" w:type="dxa"/>
            <w:vAlign w:val="bottom"/>
          </w:tcPr>
          <w:p>
            <w:pPr>
              <w:spacing w:after="0"/>
              <w:rPr>
                <w:sz w:val="1"/>
                <w:szCs w:val="1"/>
                <w:color w:val="auto"/>
              </w:rPr>
            </w:pPr>
          </w:p>
        </w:tc>
      </w:tr>
      <w:tr>
        <w:trPr>
          <w:trHeight w:val="466"/>
        </w:trPr>
        <w:tc>
          <w:tcPr>
            <w:tcW w:w="1180" w:type="dxa"/>
            <w:vAlign w:val="bottom"/>
          </w:tcPr>
          <w:p>
            <w:pPr>
              <w:ind w:left="20"/>
              <w:spacing w:after="0"/>
              <w:rPr>
                <w:sz w:val="20"/>
                <w:szCs w:val="20"/>
                <w:color w:val="auto"/>
              </w:rPr>
            </w:pPr>
            <w:r>
              <w:rPr>
                <w:rFonts w:ascii="Arial" w:cs="Arial" w:eastAsia="Arial" w:hAnsi="Arial"/>
                <w:sz w:val="18"/>
                <w:szCs w:val="18"/>
                <w:color w:val="auto"/>
              </w:rPr>
              <w:t>Item 1.</w:t>
            </w:r>
          </w:p>
        </w:tc>
        <w:tc>
          <w:tcPr>
            <w:tcW w:w="9260" w:type="dxa"/>
            <w:vAlign w:val="bottom"/>
            <w:gridSpan w:val="19"/>
          </w:tcPr>
          <w:p>
            <w:pPr>
              <w:spacing w:after="0"/>
              <w:rPr>
                <w:sz w:val="20"/>
                <w:szCs w:val="20"/>
                <w:color w:val="auto"/>
              </w:rPr>
            </w:pPr>
            <w:r>
              <w:rPr>
                <w:rFonts w:ascii="Arial" w:cs="Arial" w:eastAsia="Arial" w:hAnsi="Arial"/>
                <w:sz w:val="18"/>
                <w:szCs w:val="18"/>
                <w:color w:val="0563C1"/>
              </w:rPr>
              <w:t>Legal Proceedings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563C1"/>
              <w:bottom w:val="single" w:sz="8" w:color="0563C1"/>
            </w:tcBorders>
            <w:gridSpan w:val="3"/>
          </w:tcPr>
          <w:p>
            <w:pPr>
              <w:spacing w:after="0"/>
              <w:rPr>
                <w:sz w:val="20"/>
                <w:szCs w:val="20"/>
                <w:color w:val="auto"/>
              </w:rPr>
            </w:pPr>
            <w:r>
              <w:rPr>
                <w:rFonts w:ascii="Arial" w:cs="Arial" w:eastAsia="Arial" w:hAnsi="Arial"/>
                <w:sz w:val="18"/>
                <w:szCs w:val="18"/>
                <w:color w:val="0563C1"/>
                <w:w w:val="87"/>
              </w:rPr>
              <w:t>Risk Factors</w:t>
            </w:r>
          </w:p>
        </w:tc>
        <w:tc>
          <w:tcPr>
            <w:tcW w:w="420" w:type="dxa"/>
            <w:vAlign w:val="bottom"/>
            <w:tcBorders>
              <w:top w:val="single" w:sz="8" w:color="0563C1"/>
            </w:tcBorders>
            <w:gridSpan w:val="2"/>
          </w:tcPr>
          <w:p>
            <w:pPr>
              <w:spacing w:after="0"/>
              <w:rPr>
                <w:sz w:val="19"/>
                <w:szCs w:val="19"/>
                <w:color w:val="auto"/>
              </w:rPr>
            </w:pPr>
          </w:p>
        </w:tc>
        <w:tc>
          <w:tcPr>
            <w:tcW w:w="7940" w:type="dxa"/>
            <w:vAlign w:val="bottom"/>
            <w:gridSpan w:val="14"/>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Item 2.</w:t>
            </w:r>
          </w:p>
        </w:tc>
        <w:tc>
          <w:tcPr>
            <w:tcW w:w="9260" w:type="dxa"/>
            <w:vAlign w:val="bottom"/>
            <w:gridSpan w:val="19"/>
          </w:tcPr>
          <w:p>
            <w:pPr>
              <w:spacing w:after="0"/>
              <w:rPr>
                <w:sz w:val="20"/>
                <w:szCs w:val="20"/>
                <w:color w:val="auto"/>
              </w:rPr>
            </w:pPr>
            <w:r>
              <w:rPr>
                <w:rFonts w:ascii="Arial" w:cs="Arial" w:eastAsia="Arial" w:hAnsi="Arial"/>
                <w:sz w:val="18"/>
                <w:szCs w:val="18"/>
                <w:color w:val="0563C1"/>
              </w:rPr>
              <w:t>Unregistered Sales of Equity Securities and Use of Proceeds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563C1"/>
              <w:bottom w:val="single" w:sz="8" w:color="0563C1"/>
            </w:tcBorders>
            <w:gridSpan w:val="9"/>
          </w:tcPr>
          <w:p>
            <w:pPr>
              <w:spacing w:after="0"/>
              <w:rPr>
                <w:sz w:val="20"/>
                <w:szCs w:val="20"/>
                <w:color w:val="auto"/>
              </w:rPr>
            </w:pPr>
            <w:r>
              <w:rPr>
                <w:rFonts w:ascii="Arial" w:cs="Arial" w:eastAsia="Arial" w:hAnsi="Arial"/>
                <w:sz w:val="18"/>
                <w:szCs w:val="18"/>
                <w:color w:val="0563C1"/>
                <w:w w:val="90"/>
              </w:rPr>
              <w:t>Defaults Upon Senior Securities</w:t>
            </w:r>
          </w:p>
        </w:tc>
        <w:tc>
          <w:tcPr>
            <w:tcW w:w="2020" w:type="dxa"/>
            <w:vAlign w:val="bottom"/>
            <w:tcBorders>
              <w:top w:val="single" w:sz="8" w:color="0563C1"/>
            </w:tcBorders>
            <w:gridSpan w:val="4"/>
          </w:tcPr>
          <w:p>
            <w:pPr>
              <w:spacing w:after="0"/>
              <w:rPr>
                <w:sz w:val="19"/>
                <w:szCs w:val="19"/>
                <w:color w:val="auto"/>
              </w:rPr>
            </w:pPr>
          </w:p>
        </w:tc>
        <w:tc>
          <w:tcPr>
            <w:tcW w:w="4920" w:type="dxa"/>
            <w:vAlign w:val="bottom"/>
            <w:gridSpan w:val="6"/>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Item 4.</w:t>
            </w:r>
          </w:p>
        </w:tc>
        <w:tc>
          <w:tcPr>
            <w:tcW w:w="9260" w:type="dxa"/>
            <w:vAlign w:val="bottom"/>
            <w:gridSpan w:val="19"/>
          </w:tcPr>
          <w:p>
            <w:pPr>
              <w:spacing w:after="0"/>
              <w:rPr>
                <w:sz w:val="20"/>
                <w:szCs w:val="20"/>
                <w:color w:val="auto"/>
              </w:rPr>
            </w:pPr>
            <w:r>
              <w:rPr>
                <w:rFonts w:ascii="Arial" w:cs="Arial" w:eastAsia="Arial" w:hAnsi="Arial"/>
                <w:sz w:val="18"/>
                <w:szCs w:val="18"/>
                <w:color w:val="0563C1"/>
              </w:rPr>
              <w:t>Mine Safety Disclosures</w:t>
            </w: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563C1"/>
            </w:tcBorders>
            <w:gridSpan w:val="6"/>
          </w:tcPr>
          <w:p>
            <w:pPr>
              <w:spacing w:after="0"/>
              <w:rPr>
                <w:sz w:val="20"/>
                <w:szCs w:val="20"/>
                <w:color w:val="auto"/>
              </w:rPr>
            </w:pPr>
            <w:r>
              <w:rPr>
                <w:rFonts w:ascii="Arial" w:cs="Arial" w:eastAsia="Arial" w:hAnsi="Arial"/>
                <w:sz w:val="18"/>
                <w:szCs w:val="18"/>
                <w:color w:val="0563C1"/>
              </w:rPr>
              <w:t>Other Information</w:t>
            </w:r>
          </w:p>
        </w:tc>
        <w:tc>
          <w:tcPr>
            <w:tcW w:w="7500" w:type="dxa"/>
            <w:vAlign w:val="bottom"/>
            <w:gridSpan w:val="13"/>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35</w:t>
            </w:r>
          </w:p>
        </w:tc>
        <w:tc>
          <w:tcPr>
            <w:tcW w:w="0" w:type="dxa"/>
            <w:vAlign w:val="bottom"/>
          </w:tcPr>
          <w:p>
            <w:pPr>
              <w:spacing w:after="0"/>
              <w:rPr>
                <w:sz w:val="1"/>
                <w:szCs w:val="1"/>
                <w:color w:val="auto"/>
              </w:rPr>
            </w:pPr>
          </w:p>
        </w:tc>
      </w:tr>
      <w:tr>
        <w:trPr>
          <w:trHeight w:val="223"/>
        </w:trPr>
        <w:tc>
          <w:tcPr>
            <w:tcW w:w="1180" w:type="dxa"/>
            <w:vAlign w:val="bottom"/>
          </w:tcPr>
          <w:p>
            <w:pPr>
              <w:ind w:left="20"/>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563C1"/>
              <w:bottom w:val="single" w:sz="8" w:color="0563C1"/>
            </w:tcBorders>
          </w:tcPr>
          <w:p>
            <w:pPr>
              <w:spacing w:after="0"/>
              <w:rPr>
                <w:sz w:val="20"/>
                <w:szCs w:val="20"/>
                <w:color w:val="auto"/>
              </w:rPr>
            </w:pPr>
            <w:r>
              <w:rPr>
                <w:rFonts w:ascii="Arial" w:cs="Arial" w:eastAsia="Arial" w:hAnsi="Arial"/>
                <w:sz w:val="18"/>
                <w:szCs w:val="18"/>
                <w:color w:val="0563C1"/>
                <w:w w:val="91"/>
              </w:rPr>
              <w:t>Exhibits</w:t>
            </w:r>
          </w:p>
        </w:tc>
        <w:tc>
          <w:tcPr>
            <w:tcW w:w="700" w:type="dxa"/>
            <w:vAlign w:val="bottom"/>
            <w:tcBorders>
              <w:top w:val="single" w:sz="8" w:color="0563C1"/>
            </w:tcBorders>
            <w:gridSpan w:val="3"/>
          </w:tcPr>
          <w:p>
            <w:pPr>
              <w:spacing w:after="0"/>
              <w:rPr>
                <w:sz w:val="19"/>
                <w:szCs w:val="19"/>
                <w:color w:val="auto"/>
              </w:rPr>
            </w:pPr>
          </w:p>
        </w:tc>
        <w:tc>
          <w:tcPr>
            <w:tcW w:w="7960" w:type="dxa"/>
            <w:vAlign w:val="bottom"/>
            <w:gridSpan w:val="15"/>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223"/>
        </w:trPr>
        <w:tc>
          <w:tcPr>
            <w:tcW w:w="1180" w:type="dxa"/>
            <w:vAlign w:val="bottom"/>
          </w:tcPr>
          <w:p>
            <w:pPr>
              <w:spacing w:after="0"/>
              <w:rPr>
                <w:sz w:val="19"/>
                <w:szCs w:val="19"/>
                <w:color w:val="auto"/>
              </w:rPr>
            </w:pPr>
          </w:p>
        </w:tc>
        <w:tc>
          <w:tcPr>
            <w:tcW w:w="760" w:type="dxa"/>
            <w:vAlign w:val="bottom"/>
            <w:tcBorders>
              <w:bottom w:val="single" w:sz="8" w:color="0563C1"/>
            </w:tcBorders>
            <w:gridSpan w:val="2"/>
          </w:tcPr>
          <w:p>
            <w:pPr>
              <w:spacing w:after="0"/>
              <w:rPr>
                <w:sz w:val="20"/>
                <w:szCs w:val="20"/>
                <w:color w:val="auto"/>
              </w:rPr>
            </w:pPr>
            <w:r>
              <w:rPr>
                <w:rFonts w:ascii="Arial" w:cs="Arial" w:eastAsia="Arial" w:hAnsi="Arial"/>
                <w:sz w:val="18"/>
                <w:szCs w:val="18"/>
                <w:color w:val="0563C1"/>
                <w:w w:val="85"/>
              </w:rPr>
              <w:t>Signatures</w:t>
            </w:r>
          </w:p>
        </w:tc>
        <w:tc>
          <w:tcPr>
            <w:tcW w:w="8500" w:type="dxa"/>
            <w:vAlign w:val="bottom"/>
            <w:gridSpan w:val="17"/>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37</w:t>
            </w:r>
          </w:p>
        </w:tc>
        <w:tc>
          <w:tcPr>
            <w:tcW w:w="0" w:type="dxa"/>
            <w:vAlign w:val="bottom"/>
          </w:tcPr>
          <w:p>
            <w:pPr>
              <w:spacing w:after="0"/>
              <w:rPr>
                <w:sz w:val="1"/>
                <w:szCs w:val="1"/>
                <w:color w:val="auto"/>
              </w:rPr>
            </w:pPr>
          </w:p>
        </w:tc>
      </w:tr>
      <w:tr>
        <w:trPr>
          <w:trHeight w:val="682"/>
        </w:trPr>
        <w:tc>
          <w:tcPr>
            <w:tcW w:w="1180" w:type="dxa"/>
            <w:vAlign w:val="bottom"/>
          </w:tcPr>
          <w:p>
            <w:pPr>
              <w:spacing w:after="0"/>
              <w:rPr>
                <w:sz w:val="24"/>
                <w:szCs w:val="24"/>
                <w:color w:val="auto"/>
              </w:rPr>
            </w:pPr>
          </w:p>
        </w:tc>
        <w:tc>
          <w:tcPr>
            <w:tcW w:w="4620" w:type="dxa"/>
            <w:vAlign w:val="bottom"/>
            <w:gridSpan w:val="15"/>
          </w:tcPr>
          <w:p>
            <w:pPr>
              <w:ind w:left="44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Unless the context otherwise requires, references in this Quarterly Report on Form 10-Q to the “Company,” “Sight Sciences,” “we,” “us” and “our” refer to Sight Sciences, Inc.</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Quarterly Report on Form 10-Q for the fiscal period ended June 30, 2023 (this "Quarterly Report")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73"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total addressable market, future revenue, expenses, capital requirements, and our needs for additional financing;</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sufficient reimbursement for our products;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enter into and compete in new markets;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effectively with existing competitors and new market entrants;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infrastructure;</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manage and grow our business by expanding our sales to existing customers or introducing our products to new customers;</w:t>
      </w:r>
    </w:p>
    <w:p>
      <w:pPr>
        <w:spacing w:after="0" w:line="128" w:lineRule="exact"/>
        <w:rPr>
          <w:rFonts w:ascii="Arial" w:cs="Arial" w:eastAsia="Arial" w:hAnsi="Arial"/>
          <w:sz w:val="17"/>
          <w:szCs w:val="17"/>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claims of infringement;</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effects of extensive government regulation;</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abilities to protect and scale our intellectual property portfolio;</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and retain key personnel;</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financing in future offerings;</w:t>
      </w:r>
    </w:p>
    <w:p>
      <w:pPr>
        <w:spacing w:after="0" w:line="117"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incidence of disease or other epidemics on our business, our customers' and suppliers' businesses, and on our industry and the economy;</w:t>
      </w:r>
    </w:p>
    <w:p>
      <w:pPr>
        <w:spacing w:after="0" w:line="140" w:lineRule="exact"/>
        <w:rPr>
          <w:rFonts w:ascii="Arial" w:cs="Arial" w:eastAsia="Arial" w:hAnsi="Arial"/>
          <w:sz w:val="16"/>
          <w:szCs w:val="16"/>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17" w:lineRule="exact"/>
        <w:rPr>
          <w:rFonts w:ascii="Arial" w:cs="Arial" w:eastAsia="Arial" w:hAnsi="Arial"/>
          <w:sz w:val="18"/>
          <w:szCs w:val="18"/>
          <w:color w:val="auto"/>
        </w:rPr>
      </w:pPr>
    </w:p>
    <w:p>
      <w:pPr>
        <w:ind w:left="380" w:right="100" w:hanging="372"/>
        <w:spacing w:after="0" w:line="277" w:lineRule="auto"/>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 regarding the time during which we will be an emerging growth company under the Jumpstart Our Business Startups Act (the “JOBS Act”); and</w:t>
      </w:r>
    </w:p>
    <w:p>
      <w:pPr>
        <w:spacing w:after="0" w:line="6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proper and effective internal controls.</w:t>
      </w:r>
    </w:p>
    <w:p>
      <w:pPr>
        <w:spacing w:after="0" w:line="22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Actual events or results may differ from those expressed in forward-looking statements. As such, you should not rely on forward-looking statements as predictions of future events. We have based the forward-looking statements contained in this Quarterly Report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in our Annual Report on Form 10-K for the year ended December 31, 2022 filed with the Securities and Exchange Commission (the "SEC") on March 16, 2023 (the "2022 Form 10-K") and elsewhere in this Quarterly Report.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The results, events and circumstances reflected in the forward-looking</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right="220"/>
        <w:spacing w:after="0" w:line="277" w:lineRule="auto"/>
        <w:rPr>
          <w:sz w:val="20"/>
          <w:szCs w:val="20"/>
          <w:color w:val="auto"/>
        </w:rPr>
      </w:pPr>
      <w:r>
        <w:rPr>
          <w:rFonts w:ascii="Arial" w:cs="Arial" w:eastAsia="Arial" w:hAnsi="Arial"/>
          <w:sz w:val="18"/>
          <w:szCs w:val="18"/>
          <w:color w:val="auto"/>
        </w:rPr>
        <w:t>statements may not be achieved or occur, and actual results, events or circumstances could differ materially from those described in the forward-looking statements.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forward-looking statements in this Quarterly Report are based upon information available to us as of the date of this Quarterly Report.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You should read this Quarterly Report and the documents that we reference in this Quarterly Report and have filed as exhibits to this Quarterly Report with the understanding that our actual future results, performance and achievements may be materially different from what we expect. We qualify all of our forward-looking statements by these cautionary statements. The forward-looking statements made in this Quarterly Report relate only to events as of the date on which the statements are made. We undertake no obligation to update any forward-looking statements made in this Quarterly Report to reflect events or circumstances after the date of this Quarterly Report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1.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85"/>
        </w:trPr>
        <w:tc>
          <w:tcPr>
            <w:tcW w:w="7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6"/>
        </w:trPr>
        <w:tc>
          <w:tcPr>
            <w:tcW w:w="79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9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154,515</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185,000</w:t>
            </w:r>
          </w:p>
        </w:tc>
        <w:tc>
          <w:tcPr>
            <w:tcW w:w="140" w:type="dxa"/>
            <w:vAlign w:val="bottom"/>
            <w:shd w:val="clear" w:color="auto" w:fill="CFF0FC"/>
          </w:tcPr>
          <w:p>
            <w:pPr>
              <w:spacing w:after="0"/>
              <w:rPr>
                <w:sz w:val="21"/>
                <w:szCs w:val="21"/>
                <w:color w:val="auto"/>
              </w:rPr>
            </w:pPr>
          </w:p>
        </w:tc>
      </w:tr>
      <w:tr>
        <w:trPr>
          <w:trHeight w:val="215"/>
        </w:trPr>
        <w:tc>
          <w:tcPr>
            <w:tcW w:w="7920" w:type="dxa"/>
            <w:vAlign w:val="bottom"/>
          </w:tcPr>
          <w:p>
            <w:pPr>
              <w:ind w:left="200"/>
              <w:spacing w:after="0"/>
              <w:rPr>
                <w:sz w:val="20"/>
                <w:szCs w:val="20"/>
                <w:color w:val="auto"/>
              </w:rPr>
            </w:pPr>
            <w:r>
              <w:rPr>
                <w:rFonts w:ascii="Arial" w:cs="Arial" w:eastAsia="Arial" w:hAnsi="Arial"/>
                <w:sz w:val="18"/>
                <w:szCs w:val="18"/>
                <w:color w:val="auto"/>
                <w:w w:val="98"/>
              </w:rPr>
              <w:t>Accounts receivable, net of allowance for credit losses of $1,037 and $1,024 at June 30, 2023 and</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920" w:type="dxa"/>
            <w:vAlign w:val="bottom"/>
          </w:tcPr>
          <w:p>
            <w:pPr>
              <w:ind w:left="200"/>
              <w:spacing w:after="0"/>
              <w:rPr>
                <w:sz w:val="20"/>
                <w:szCs w:val="20"/>
                <w:color w:val="auto"/>
              </w:rPr>
            </w:pPr>
            <w:r>
              <w:rPr>
                <w:rFonts w:ascii="Arial" w:cs="Arial" w:eastAsia="Arial" w:hAnsi="Arial"/>
                <w:sz w:val="18"/>
                <w:szCs w:val="18"/>
                <w:color w:val="auto"/>
              </w:rPr>
              <w:t>December 31, 2022, respectively</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18,103</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15,148</w:t>
            </w:r>
          </w:p>
        </w:tc>
        <w:tc>
          <w:tcPr>
            <w:tcW w:w="140" w:type="dxa"/>
            <w:vAlign w:val="bottom"/>
          </w:tcPr>
          <w:p>
            <w:pPr>
              <w:spacing w:after="0"/>
              <w:rPr>
                <w:sz w:val="20"/>
                <w:szCs w:val="20"/>
                <w:color w:val="auto"/>
              </w:rPr>
            </w:pPr>
          </w:p>
        </w:tc>
      </w:tr>
      <w:tr>
        <w:trPr>
          <w:trHeight w:val="250"/>
        </w:trPr>
        <w:tc>
          <w:tcPr>
            <w:tcW w:w="7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 net</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7,907</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6,114</w:t>
            </w:r>
          </w:p>
        </w:tc>
        <w:tc>
          <w:tcPr>
            <w:tcW w:w="140" w:type="dxa"/>
            <w:vAlign w:val="bottom"/>
            <w:shd w:val="clear" w:color="auto" w:fill="CFF0FC"/>
          </w:tcPr>
          <w:p>
            <w:pPr>
              <w:spacing w:after="0"/>
              <w:rPr>
                <w:sz w:val="21"/>
                <w:szCs w:val="21"/>
                <w:color w:val="auto"/>
              </w:rPr>
            </w:pPr>
          </w:p>
        </w:tc>
      </w:tr>
      <w:tr>
        <w:trPr>
          <w:trHeight w:val="237"/>
        </w:trPr>
        <w:tc>
          <w:tcPr>
            <w:tcW w:w="792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w:t>
            </w:r>
          </w:p>
        </w:tc>
        <w:tc>
          <w:tcPr>
            <w:tcW w:w="140" w:type="dxa"/>
            <w:vAlign w:val="bottom"/>
          </w:tcPr>
          <w:p>
            <w:pPr>
              <w:spacing w:after="0"/>
              <w:rPr>
                <w:sz w:val="20"/>
                <w:szCs w:val="20"/>
                <w:color w:val="auto"/>
              </w:rPr>
            </w:pPr>
          </w:p>
        </w:tc>
      </w:tr>
      <w:tr>
        <w:trPr>
          <w:trHeight w:val="243"/>
        </w:trPr>
        <w:tc>
          <w:tcPr>
            <w:tcW w:w="7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182,320</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209,677</w:t>
            </w:r>
          </w:p>
        </w:tc>
        <w:tc>
          <w:tcPr>
            <w:tcW w:w="140" w:type="dxa"/>
            <w:vAlign w:val="bottom"/>
            <w:shd w:val="clear" w:color="auto" w:fill="CFF0FC"/>
          </w:tcPr>
          <w:p>
            <w:pPr>
              <w:spacing w:after="0"/>
              <w:rPr>
                <w:sz w:val="21"/>
                <w:szCs w:val="21"/>
                <w:color w:val="auto"/>
              </w:rPr>
            </w:pPr>
          </w:p>
        </w:tc>
      </w:tr>
      <w:tr>
        <w:trPr>
          <w:trHeight w:val="237"/>
        </w:trPr>
        <w:tc>
          <w:tcPr>
            <w:tcW w:w="79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1,477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1,571</w:t>
            </w:r>
          </w:p>
        </w:tc>
        <w:tc>
          <w:tcPr>
            <w:tcW w:w="140" w:type="dxa"/>
            <w:vAlign w:val="bottom"/>
          </w:tcPr>
          <w:p>
            <w:pPr>
              <w:spacing w:after="0"/>
              <w:rPr>
                <w:sz w:val="20"/>
                <w:szCs w:val="20"/>
                <w:color w:val="auto"/>
              </w:rPr>
            </w:pPr>
          </w:p>
        </w:tc>
      </w:tr>
      <w:tr>
        <w:trPr>
          <w:trHeight w:val="249"/>
        </w:trPr>
        <w:tc>
          <w:tcPr>
            <w:tcW w:w="7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140" w:type="dxa"/>
            <w:vAlign w:val="bottom"/>
            <w:shd w:val="clear" w:color="auto" w:fill="CFF0FC"/>
          </w:tcPr>
          <w:p>
            <w:pPr>
              <w:spacing w:after="0"/>
              <w:rPr>
                <w:sz w:val="21"/>
                <w:szCs w:val="21"/>
                <w:color w:val="auto"/>
              </w:rPr>
            </w:pPr>
          </w:p>
        </w:tc>
      </w:tr>
      <w:tr>
        <w:trPr>
          <w:trHeight w:val="237"/>
        </w:trPr>
        <w:tc>
          <w:tcPr>
            <w:tcW w:w="79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0"/>
                <w:szCs w:val="20"/>
                <w:color w:val="auto"/>
              </w:rPr>
            </w:pPr>
          </w:p>
        </w:tc>
      </w:tr>
      <w:tr>
        <w:trPr>
          <w:trHeight w:val="277"/>
        </w:trPr>
        <w:tc>
          <w:tcPr>
            <w:tcW w:w="79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185,289</w:t>
            </w:r>
          </w:p>
        </w:tc>
        <w:tc>
          <w:tcPr>
            <w:tcW w:w="3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213,073</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26"/>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92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2,947</w:t>
            </w:r>
          </w:p>
        </w:tc>
        <w:tc>
          <w:tcPr>
            <w:tcW w:w="3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2,688</w:t>
            </w:r>
          </w:p>
        </w:tc>
        <w:tc>
          <w:tcPr>
            <w:tcW w:w="140" w:type="dxa"/>
            <w:vAlign w:val="bottom"/>
          </w:tcPr>
          <w:p>
            <w:pPr>
              <w:spacing w:after="0"/>
              <w:rPr>
                <w:sz w:val="20"/>
                <w:szCs w:val="20"/>
                <w:color w:val="auto"/>
              </w:rPr>
            </w:pPr>
          </w:p>
        </w:tc>
      </w:tr>
      <w:tr>
        <w:trPr>
          <w:trHeight w:val="249"/>
        </w:trPr>
        <w:tc>
          <w:tcPr>
            <w:tcW w:w="7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5,720</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7,352</w:t>
            </w:r>
          </w:p>
        </w:tc>
        <w:tc>
          <w:tcPr>
            <w:tcW w:w="140" w:type="dxa"/>
            <w:vAlign w:val="bottom"/>
            <w:shd w:val="clear" w:color="auto" w:fill="CFF0FC"/>
          </w:tcPr>
          <w:p>
            <w:pPr>
              <w:spacing w:after="0"/>
              <w:rPr>
                <w:sz w:val="21"/>
                <w:szCs w:val="21"/>
                <w:color w:val="auto"/>
              </w:rPr>
            </w:pPr>
          </w:p>
        </w:tc>
      </w:tr>
      <w:tr>
        <w:trPr>
          <w:trHeight w:val="237"/>
        </w:trPr>
        <w:tc>
          <w:tcPr>
            <w:tcW w:w="792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5,386</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w:t>
            </w:r>
          </w:p>
        </w:tc>
        <w:tc>
          <w:tcPr>
            <w:tcW w:w="140" w:type="dxa"/>
            <w:vAlign w:val="bottom"/>
          </w:tcPr>
          <w:p>
            <w:pPr>
              <w:spacing w:after="0"/>
              <w:rPr>
                <w:sz w:val="20"/>
                <w:szCs w:val="20"/>
                <w:color w:val="auto"/>
              </w:rPr>
            </w:pPr>
          </w:p>
        </w:tc>
      </w:tr>
      <w:tr>
        <w:trPr>
          <w:trHeight w:val="243"/>
        </w:trPr>
        <w:tc>
          <w:tcPr>
            <w:tcW w:w="79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14,053</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17,817</w:t>
            </w:r>
          </w:p>
        </w:tc>
        <w:tc>
          <w:tcPr>
            <w:tcW w:w="140" w:type="dxa"/>
            <w:vAlign w:val="bottom"/>
            <w:shd w:val="clear" w:color="auto" w:fill="CFF0FC"/>
          </w:tcPr>
          <w:p>
            <w:pPr>
              <w:spacing w:after="0"/>
              <w:rPr>
                <w:sz w:val="21"/>
                <w:szCs w:val="21"/>
                <w:color w:val="auto"/>
              </w:rPr>
            </w:pPr>
          </w:p>
        </w:tc>
      </w:tr>
      <w:tr>
        <w:trPr>
          <w:trHeight w:val="237"/>
        </w:trPr>
        <w:tc>
          <w:tcPr>
            <w:tcW w:w="79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33,607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33,313</w:t>
            </w:r>
          </w:p>
        </w:tc>
        <w:tc>
          <w:tcPr>
            <w:tcW w:w="140" w:type="dxa"/>
            <w:vAlign w:val="bottom"/>
          </w:tcPr>
          <w:p>
            <w:pPr>
              <w:spacing w:after="0"/>
              <w:rPr>
                <w:sz w:val="20"/>
                <w:szCs w:val="20"/>
                <w:color w:val="auto"/>
              </w:rPr>
            </w:pPr>
          </w:p>
        </w:tc>
      </w:tr>
      <w:tr>
        <w:trPr>
          <w:trHeight w:val="243"/>
        </w:trPr>
        <w:tc>
          <w:tcPr>
            <w:tcW w:w="7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1,498</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9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49,158</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52,997</w:t>
            </w:r>
          </w:p>
        </w:tc>
        <w:tc>
          <w:tcPr>
            <w:tcW w:w="140" w:type="dxa"/>
            <w:vAlign w:val="bottom"/>
          </w:tcPr>
          <w:p>
            <w:pPr>
              <w:spacing w:after="0"/>
              <w:rPr>
                <w:sz w:val="20"/>
                <w:szCs w:val="20"/>
                <w:color w:val="auto"/>
              </w:rPr>
            </w:pPr>
          </w:p>
        </w:tc>
      </w:tr>
      <w:tr>
        <w:trPr>
          <w:trHeight w:val="243"/>
        </w:trPr>
        <w:tc>
          <w:tcPr>
            <w:tcW w:w="7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6)</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9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79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Preferred stock, par value of $0.001 per share; 10,000,000 shares authorized; no shares issued and</w:t>
            </w:r>
          </w:p>
        </w:tc>
        <w:tc>
          <w:tcPr>
            <w:tcW w:w="3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44"/>
        </w:trPr>
        <w:tc>
          <w:tcPr>
            <w:tcW w:w="7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outstanding as of June 30, 2023 and December 31, 2022, respectively</w:t>
            </w:r>
          </w:p>
        </w:tc>
        <w:tc>
          <w:tcPr>
            <w:tcW w:w="3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15"/>
        </w:trPr>
        <w:tc>
          <w:tcPr>
            <w:tcW w:w="7920" w:type="dxa"/>
            <w:vAlign w:val="bottom"/>
          </w:tcPr>
          <w:p>
            <w:pPr>
              <w:ind w:left="200"/>
              <w:spacing w:after="0"/>
              <w:rPr>
                <w:sz w:val="20"/>
                <w:szCs w:val="20"/>
                <w:color w:val="auto"/>
              </w:rPr>
            </w:pPr>
            <w:r>
              <w:rPr>
                <w:rFonts w:ascii="Arial" w:cs="Arial" w:eastAsia="Arial" w:hAnsi="Arial"/>
                <w:sz w:val="18"/>
                <w:szCs w:val="18"/>
                <w:color w:val="auto"/>
                <w:w w:val="93"/>
              </w:rPr>
              <w:t>Common stock, par value of $0.001 per share; 200,000,000 shares authorized as of June 30, 2023 and</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920" w:type="dxa"/>
            <w:vAlign w:val="bottom"/>
          </w:tcPr>
          <w:p>
            <w:pPr>
              <w:ind w:left="200"/>
              <w:spacing w:after="0"/>
              <w:rPr>
                <w:sz w:val="20"/>
                <w:szCs w:val="20"/>
                <w:color w:val="auto"/>
              </w:rPr>
            </w:pPr>
            <w:r>
              <w:rPr>
                <w:rFonts w:ascii="Arial" w:cs="Arial" w:eastAsia="Arial" w:hAnsi="Arial"/>
                <w:sz w:val="18"/>
                <w:szCs w:val="18"/>
                <w:color w:val="auto"/>
                <w:w w:val="92"/>
              </w:rPr>
              <w:t>December 31, 2022, respectively; 48,649,343 and 48,298,138 shares issued and outstanding as of June</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7"/>
        </w:trPr>
        <w:tc>
          <w:tcPr>
            <w:tcW w:w="7920" w:type="dxa"/>
            <w:vAlign w:val="bottom"/>
          </w:tcPr>
          <w:p>
            <w:pPr>
              <w:ind w:left="200"/>
              <w:spacing w:after="0"/>
              <w:rPr>
                <w:sz w:val="20"/>
                <w:szCs w:val="20"/>
                <w:color w:val="auto"/>
              </w:rPr>
            </w:pPr>
            <w:r>
              <w:rPr>
                <w:rFonts w:ascii="Arial" w:cs="Arial" w:eastAsia="Arial" w:hAnsi="Arial"/>
                <w:sz w:val="18"/>
                <w:szCs w:val="18"/>
                <w:color w:val="auto"/>
              </w:rPr>
              <w:t>30, 2023 and December 31, 2022, respectively</w:t>
            </w: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p>
        </w:tc>
      </w:tr>
      <w:tr>
        <w:trPr>
          <w:trHeight w:val="250"/>
        </w:trPr>
        <w:tc>
          <w:tcPr>
            <w:tcW w:w="79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paid-in-capital</w:t>
            </w:r>
          </w:p>
        </w:tc>
        <w:tc>
          <w:tcPr>
            <w:tcW w:w="3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407,146</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399,271</w:t>
            </w:r>
          </w:p>
        </w:tc>
        <w:tc>
          <w:tcPr>
            <w:tcW w:w="140" w:type="dxa"/>
            <w:vAlign w:val="bottom"/>
            <w:shd w:val="clear" w:color="auto" w:fill="CFF0FC"/>
          </w:tcPr>
          <w:p>
            <w:pPr>
              <w:spacing w:after="0"/>
              <w:rPr>
                <w:sz w:val="21"/>
                <w:szCs w:val="21"/>
                <w:color w:val="auto"/>
              </w:rPr>
            </w:pPr>
          </w:p>
        </w:tc>
      </w:tr>
      <w:tr>
        <w:trPr>
          <w:trHeight w:val="237"/>
        </w:trPr>
        <w:tc>
          <w:tcPr>
            <w:tcW w:w="79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(271,064 )</w:t>
            </w:r>
          </w:p>
        </w:tc>
        <w:tc>
          <w:tcPr>
            <w:tcW w:w="20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(239,243 )</w:t>
            </w:r>
          </w:p>
        </w:tc>
      </w:tr>
      <w:tr>
        <w:trPr>
          <w:trHeight w:val="237"/>
        </w:trPr>
        <w:tc>
          <w:tcPr>
            <w:tcW w:w="79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136,131</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160,076</w:t>
            </w:r>
          </w:p>
        </w:tc>
        <w:tc>
          <w:tcPr>
            <w:tcW w:w="140" w:type="dxa"/>
            <w:vAlign w:val="bottom"/>
            <w:tcBorders>
              <w:bottom w:val="single" w:sz="8" w:color="CFF0FC"/>
            </w:tcBorders>
            <w:shd w:val="clear" w:color="auto" w:fill="CFF0FC"/>
          </w:tcPr>
          <w:p>
            <w:pPr>
              <w:spacing w:after="0"/>
              <w:rPr>
                <w:sz w:val="20"/>
                <w:szCs w:val="20"/>
                <w:color w:val="auto"/>
              </w:rPr>
            </w:pPr>
          </w:p>
        </w:tc>
      </w:tr>
      <w:tr>
        <w:trPr>
          <w:trHeight w:val="236"/>
        </w:trPr>
        <w:tc>
          <w:tcPr>
            <w:tcW w:w="7920" w:type="dxa"/>
            <w:vAlign w:val="bottom"/>
          </w:tcPr>
          <w:p>
            <w:pPr>
              <w:ind w:left="3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185,289</w:t>
            </w:r>
          </w:p>
        </w:tc>
        <w:tc>
          <w:tcPr>
            <w:tcW w:w="3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213,073</w:t>
            </w:r>
          </w:p>
        </w:tc>
        <w:tc>
          <w:tcPr>
            <w:tcW w:w="140" w:type="dxa"/>
            <w:vAlign w:val="bottom"/>
          </w:tcPr>
          <w:p>
            <w:pPr>
              <w:spacing w:after="0"/>
              <w:rPr>
                <w:sz w:val="20"/>
                <w:szCs w:val="20"/>
                <w:color w:val="auto"/>
              </w:rPr>
            </w:pPr>
          </w:p>
        </w:tc>
      </w:tr>
      <w:tr>
        <w:trPr>
          <w:trHeight w:val="20"/>
        </w:trPr>
        <w:tc>
          <w:tcPr>
            <w:tcW w:w="7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-3128645</wp:posOffset>
            </wp:positionV>
            <wp:extent cx="116586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65860"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-1859915</wp:posOffset>
            </wp:positionV>
            <wp:extent cx="8572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-1859915</wp:posOffset>
            </wp:positionV>
            <wp:extent cx="8572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8572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data)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jc w:val="right"/>
              <w:ind w:right="85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520" w:type="dxa"/>
            <w:vAlign w:val="bottom"/>
            <w:gridSpan w:val="5"/>
          </w:tcPr>
          <w:p>
            <w:pPr>
              <w:jc w:val="right"/>
              <w:ind w:right="81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23,471</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17,229</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42,296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14,493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35,867</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26,343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5,926</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11,573</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31,431</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58,731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59,826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35,277</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37,357</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71,399</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 xml:space="preserve">(15,187 </w:t>
            </w:r>
            <w:r>
              <w:rPr>
                <w:rFonts w:ascii="Arial" w:cs="Arial" w:eastAsia="Arial" w:hAnsi="Arial"/>
                <w:sz w:val="18"/>
                <w:szCs w:val="18"/>
                <w:color w:val="auto"/>
                <w:highlight w:val="white"/>
              </w:rPr>
              <w:t>)</w:t>
            </w:r>
          </w:p>
        </w:tc>
        <w:tc>
          <w:tcPr>
            <w:tcW w:w="220" w:type="dxa"/>
            <w:vAlign w:val="bottom"/>
          </w:tcPr>
          <w:p>
            <w:pPr>
              <w:spacing w:after="0"/>
              <w:rPr>
                <w:sz w:val="20"/>
                <w:szCs w:val="20"/>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(22,864 )</w:t>
            </w:r>
          </w:p>
        </w:tc>
        <w:tc>
          <w:tcPr>
            <w:tcW w:w="240" w:type="dxa"/>
            <w:vAlign w:val="bottom"/>
          </w:tcPr>
          <w:p>
            <w:pPr>
              <w:spacing w:after="0"/>
              <w:rPr>
                <w:sz w:val="20"/>
                <w:szCs w:val="20"/>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 xml:space="preserve">(32,754 </w:t>
            </w:r>
            <w:r>
              <w:rPr>
                <w:rFonts w:ascii="Arial" w:cs="Arial" w:eastAsia="Arial" w:hAnsi="Arial"/>
                <w:sz w:val="18"/>
                <w:szCs w:val="18"/>
                <w:color w:val="auto"/>
                <w:highlight w:val="white"/>
              </w:rPr>
              <w:t>)</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(45,056 )</w:t>
            </w:r>
          </w:p>
        </w:tc>
        <w:tc>
          <w:tcPr>
            <w:tcW w:w="0" w:type="dxa"/>
            <w:vAlign w:val="bottom"/>
          </w:tcPr>
          <w:p>
            <w:pPr>
              <w:spacing w:after="0"/>
              <w:rPr>
                <w:sz w:val="1"/>
                <w:szCs w:val="1"/>
                <w:color w:val="auto"/>
              </w:rPr>
            </w:pPr>
          </w:p>
        </w:tc>
      </w:tr>
      <w:tr>
        <w:trPr>
          <w:trHeight w:val="249"/>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(1,349 )</w:t>
            </w:r>
          </w:p>
        </w:tc>
        <w:tc>
          <w:tcPr>
            <w:tcW w:w="22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(1,065 )</w:t>
            </w:r>
          </w:p>
        </w:tc>
        <w:tc>
          <w:tcPr>
            <w:tcW w:w="2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(2,625 )</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(2,112 )</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(14,746</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(23,834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(31,799</w:t>
            </w:r>
          </w:p>
        </w:tc>
        <w:tc>
          <w:tcPr>
            <w:tcW w:w="280" w:type="dxa"/>
            <w:vAlign w:val="bottom"/>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(47,088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6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(14,754</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(23,843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(31,821</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(47,106</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5600" w:type="dxa"/>
            <w:vAlign w:val="bottom"/>
          </w:tcPr>
          <w:p>
            <w:pPr>
              <w:ind w:left="20"/>
              <w:spacing w:after="0"/>
              <w:rPr>
                <w:sz w:val="20"/>
                <w:szCs w:val="20"/>
                <w:color w:val="auto"/>
              </w:rPr>
            </w:pPr>
            <w:r>
              <w:rPr>
                <w:rFonts w:ascii="Arial" w:cs="Arial" w:eastAsia="Arial" w:hAnsi="Arial"/>
                <w:sz w:val="18"/>
                <w:szCs w:val="18"/>
                <w:color w:val="auto"/>
                <w:w w:val="94"/>
              </w:rPr>
              <w:t>Net loss per share attributable to common stockholders, basic and 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 xml:space="preserve">(0.30 </w:t>
            </w:r>
            <w:r>
              <w:rPr>
                <w:rFonts w:ascii="Arial" w:cs="Arial" w:eastAsia="Arial" w:hAnsi="Arial"/>
                <w:sz w:val="18"/>
                <w:szCs w:val="18"/>
                <w:color w:val="auto"/>
                <w:highlight w:val="white"/>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(0.50 )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 xml:space="preserve">(0.66 </w:t>
            </w:r>
            <w:r>
              <w:rPr>
                <w:rFonts w:ascii="Arial" w:cs="Arial" w:eastAsia="Arial" w:hAnsi="Arial"/>
                <w:sz w:val="18"/>
                <w:szCs w:val="18"/>
                <w:color w:val="auto"/>
                <w:highlight w:val="white"/>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(0.99 )</w:t>
            </w:r>
          </w:p>
        </w:tc>
        <w:tc>
          <w:tcPr>
            <w:tcW w:w="0" w:type="dxa"/>
            <w:vAlign w:val="bottom"/>
          </w:tcPr>
          <w:p>
            <w:pPr>
              <w:spacing w:after="0"/>
              <w:rPr>
                <w:sz w:val="1"/>
                <w:szCs w:val="1"/>
                <w:color w:val="auto"/>
              </w:rPr>
            </w:pPr>
          </w:p>
        </w:tc>
      </w:tr>
      <w:tr>
        <w:trPr>
          <w:trHeight w:val="215"/>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2"/>
              </w:rPr>
              <w:t>Weighted-average shares used in computing net loss per share attributable</w:t>
            </w: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48,536,310</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47,701,451</w:t>
            </w: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48,471,153</w:t>
            </w: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47,635,840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60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to common stockholders, basic and diluted</w:t>
            </w: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-1414145</wp:posOffset>
            </wp:positionV>
            <wp:extent cx="85725"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-1414145</wp:posOffset>
            </wp:positionV>
            <wp:extent cx="8572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-462280</wp:posOffset>
            </wp:positionV>
            <wp:extent cx="85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-462280</wp:posOffset>
            </wp:positionV>
            <wp:extent cx="857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-24765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-7620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June 30, 2023</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2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gridSpan w:val="3"/>
          </w:tcPr>
          <w:p>
            <w:pPr>
              <w:jc w:val="right"/>
              <w:ind w:right="580"/>
              <w:spacing w:after="0" w:line="133"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1"/>
                <w:szCs w:val="11"/>
                <w:color w:val="auto"/>
              </w:rPr>
            </w:pPr>
          </w:p>
        </w:tc>
        <w:tc>
          <w:tcPr>
            <w:tcW w:w="1260" w:type="dxa"/>
            <w:vAlign w:val="bottom"/>
            <w:gridSpan w:val="3"/>
            <w:vMerge w:val="restart"/>
          </w:tcPr>
          <w:p>
            <w:pPr>
              <w:jc w:val="right"/>
              <w:ind w:right="321"/>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334"/>
              <w:spacing w:after="0"/>
              <w:rPr>
                <w:sz w:val="20"/>
                <w:szCs w:val="20"/>
                <w:color w:val="auto"/>
              </w:rPr>
            </w:pPr>
            <w:r>
              <w:rPr>
                <w:rFonts w:ascii="Arial" w:cs="Arial" w:eastAsia="Arial" w:hAnsi="Arial"/>
                <w:sz w:val="14"/>
                <w:szCs w:val="14"/>
                <w:b w:val="1"/>
                <w:bCs w:val="1"/>
                <w:color w:val="auto"/>
                <w:w w:val="94"/>
              </w:rPr>
              <w:t>Shares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275"/>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260" w:type="dxa"/>
            <w:vAlign w:val="bottom"/>
            <w:gridSpan w:val="3"/>
          </w:tcPr>
          <w:p>
            <w:pPr>
              <w:jc w:val="right"/>
              <w:ind w:right="541"/>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37"/>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3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48,450,378</w:t>
            </w:r>
          </w:p>
        </w:tc>
        <w:tc>
          <w:tcPr>
            <w:tcW w:w="320" w:type="dxa"/>
            <w:vAlign w:val="bottom"/>
            <w:shd w:val="clear" w:color="auto" w:fill="CFF0FC"/>
          </w:tcPr>
          <w:p>
            <w:pPr>
              <w:spacing w:after="0"/>
              <w:rPr>
                <w:sz w:val="20"/>
                <w:szCs w:val="20"/>
                <w:color w:val="auto"/>
              </w:rPr>
            </w:pPr>
          </w:p>
        </w:tc>
        <w:tc>
          <w:tcPr>
            <w:tcW w:w="320" w:type="dxa"/>
            <w:vAlign w:val="bottom"/>
            <w:tcBorders>
              <w:top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402,638</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(256,310</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146,376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upon exercise of stock</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56,994</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Issuance of common stock upon vesting of</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restricted stock units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63,437</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FF0FC"/>
            </w:tcBorders>
            <w:shd w:val="clear" w:color="auto" w:fill="CFF0FC"/>
          </w:tcPr>
          <w:p>
            <w:pPr>
              <w:spacing w:after="0"/>
              <w:rPr>
                <w:sz w:val="21"/>
                <w:szCs w:val="21"/>
                <w:color w:val="auto"/>
              </w:rPr>
            </w:pPr>
          </w:p>
        </w:tc>
        <w:tc>
          <w:tcPr>
            <w:tcW w:w="1260" w:type="dxa"/>
            <w:vAlign w:val="bottom"/>
            <w:gridSpan w:val="3"/>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Withholding taxes on net share settlement of</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(17 )</w:t>
            </w:r>
          </w:p>
        </w:tc>
        <w:tc>
          <w:tcPr>
            <w:tcW w:w="160" w:type="dxa"/>
            <w:vAlign w:val="bottom"/>
          </w:tcPr>
          <w:p>
            <w:pPr>
              <w:spacing w:after="0"/>
              <w:rPr>
                <w:sz w:val="20"/>
                <w:szCs w:val="20"/>
                <w:color w:val="auto"/>
              </w:rPr>
            </w:pPr>
          </w:p>
        </w:tc>
        <w:tc>
          <w:tcPr>
            <w:tcW w:w="126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50"/>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Employee stock purchase plan purchases</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78,534</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8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1260" w:type="dxa"/>
            <w:vAlign w:val="bottom"/>
            <w:gridSpan w:val="3"/>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3,742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1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3,742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1260" w:type="dxa"/>
            <w:vAlign w:val="bottom"/>
            <w:gridSpan w:val="3"/>
            <w:shd w:val="clear" w:color="auto" w:fill="CFF0FC"/>
          </w:tcPr>
          <w:p>
            <w:pPr>
              <w:jc w:val="right"/>
              <w:ind w:right="61"/>
              <w:spacing w:after="0"/>
              <w:rPr>
                <w:sz w:val="20"/>
                <w:szCs w:val="20"/>
                <w:color w:val="auto"/>
              </w:rPr>
            </w:pPr>
            <w:r>
              <w:rPr>
                <w:rFonts w:ascii="Arial" w:cs="Arial" w:eastAsia="Arial" w:hAnsi="Arial"/>
                <w:sz w:val="18"/>
                <w:szCs w:val="18"/>
                <w:color w:val="auto"/>
              </w:rPr>
              <w:t>(14,754 )</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(14,754 )</w:t>
            </w: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37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48,649,343</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407,146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61"/>
              <w:spacing w:after="0"/>
              <w:rPr>
                <w:sz w:val="20"/>
                <w:szCs w:val="20"/>
                <w:color w:val="auto"/>
              </w:rPr>
            </w:pPr>
            <w:r>
              <w:rPr>
                <w:rFonts w:ascii="Arial" w:cs="Arial" w:eastAsia="Arial" w:hAnsi="Arial"/>
                <w:sz w:val="18"/>
                <w:szCs w:val="18"/>
                <w:color w:val="auto"/>
              </w:rPr>
              <w:t>(271,064 )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136,131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1"/>
        </w:trPr>
        <w:tc>
          <w:tcPr>
            <w:tcW w:w="3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jc w:val="right"/>
              <w:ind w:right="1081"/>
              <w:spacing w:after="0"/>
              <w:rPr>
                <w:sz w:val="20"/>
                <w:szCs w:val="20"/>
                <w:color w:val="auto"/>
              </w:rPr>
            </w:pPr>
            <w:r>
              <w:rPr>
                <w:rFonts w:ascii="Arial" w:cs="Arial" w:eastAsia="Arial" w:hAnsi="Arial"/>
                <w:sz w:val="14"/>
                <w:szCs w:val="14"/>
                <w:b w:val="1"/>
                <w:bCs w:val="1"/>
                <w:color w:val="auto"/>
                <w:w w:val="95"/>
              </w:rPr>
              <w:t>Six Months Ended June 30, 2023</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0" w:type="dxa"/>
            <w:vAlign w:val="bottom"/>
            <w:gridSpan w:val="6"/>
            <w:vMerge w:val="restart"/>
          </w:tcPr>
          <w:p>
            <w:pPr>
              <w:jc w:val="right"/>
              <w:ind w:right="555"/>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1"/>
                <w:szCs w:val="11"/>
                <w:color w:val="auto"/>
              </w:rPr>
            </w:pPr>
          </w:p>
        </w:tc>
        <w:tc>
          <w:tcPr>
            <w:tcW w:w="1260" w:type="dxa"/>
            <w:vAlign w:val="bottom"/>
            <w:gridSpan w:val="3"/>
            <w:vMerge w:val="restart"/>
          </w:tcPr>
          <w:p>
            <w:pPr>
              <w:jc w:val="right"/>
              <w:ind w:right="361"/>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135"/>
              <w:spacing w:after="0" w:line="133"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tcBorders>
              <w:bottom w:val="single" w:sz="8" w:color="auto"/>
            </w:tcBorders>
            <w:gridSpan w:val="6"/>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3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260" w:type="dxa"/>
            <w:vAlign w:val="bottom"/>
            <w:gridSpan w:val="3"/>
          </w:tcPr>
          <w:p>
            <w:pPr>
              <w:jc w:val="right"/>
              <w:ind w:right="561"/>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2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48,298,138</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tcBorders>
              <w:top w:val="single" w:sz="8" w:color="auto"/>
              <w:right w:val="single" w:sz="8" w:color="CFF0FC"/>
            </w:tcBorders>
            <w:shd w:val="clear" w:color="auto" w:fill="CFF0FC"/>
          </w:tcPr>
          <w:p>
            <w:pPr>
              <w:jc w:val="right"/>
              <w:ind w:right="595"/>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w w:val="73"/>
              </w:rPr>
              <w:t>48</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399,271</w:t>
            </w:r>
          </w:p>
        </w:tc>
        <w:tc>
          <w:tcPr>
            <w:tcW w:w="280" w:type="dxa"/>
            <w:vAlign w:val="bottom"/>
            <w:shd w:val="clear" w:color="auto" w:fill="CFF0FC"/>
          </w:tcPr>
          <w:p>
            <w:pPr>
              <w:spacing w:after="0"/>
              <w:rPr>
                <w:sz w:val="20"/>
                <w:szCs w:val="20"/>
                <w:color w:val="auto"/>
              </w:rPr>
            </w:pPr>
          </w:p>
        </w:tc>
        <w:tc>
          <w:tcPr>
            <w:tcW w:w="160" w:type="dxa"/>
            <w:vAlign w:val="bottom"/>
            <w:tcBorders>
              <w:top w:val="single" w:sz="8" w:color="auto"/>
              <w:lef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(239,243</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shd w:val="clear" w:color="auto" w:fill="CFF0FC"/>
          </w:tcPr>
          <w:p>
            <w:pPr>
              <w:spacing w:after="0"/>
              <w:rPr>
                <w:sz w:val="20"/>
                <w:szCs w:val="20"/>
                <w:color w:val="auto"/>
              </w:rPr>
            </w:pPr>
          </w:p>
        </w:tc>
        <w:tc>
          <w:tcPr>
            <w:tcW w:w="220" w:type="dxa"/>
            <w:vAlign w:val="bottom"/>
            <w:tcBorders>
              <w:top w:val="single" w:sz="8" w:color="auto"/>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160,076</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upon exercise of stock</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options</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103,202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gridSpan w:val="3"/>
          </w:tcPr>
          <w:p>
            <w:pPr>
              <w:jc w:val="right"/>
              <w:ind w:right="250"/>
              <w:spacing w:after="0"/>
              <w:rPr>
                <w:sz w:val="20"/>
                <w:szCs w:val="20"/>
                <w:color w:val="auto"/>
              </w:rPr>
            </w:pPr>
            <w:r>
              <w:rPr>
                <w:rFonts w:ascii="Arial" w:cs="Arial" w:eastAsia="Arial" w:hAnsi="Arial"/>
                <w:sz w:val="18"/>
                <w:szCs w:val="18"/>
                <w:color w:val="auto"/>
                <w:w w:val="77"/>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8"/>
              </w:rPr>
              <w:t>Issuance of common stock upon vesting of restricted</w:t>
            </w:r>
          </w:p>
        </w:tc>
        <w:tc>
          <w:tcPr>
            <w:tcW w:w="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 w:type="dxa"/>
            <w:vAlign w:val="bottom"/>
            <w:tcBorders>
              <w:left w:val="single" w:sz="8" w:color="CFF0FC"/>
            </w:tcBorders>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stock units</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169,469</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FF0FC"/>
            </w:tcBorders>
            <w:shd w:val="clear" w:color="auto" w:fill="CFF0FC"/>
          </w:tcPr>
          <w:p>
            <w:pPr>
              <w:spacing w:after="0"/>
              <w:rPr>
                <w:sz w:val="21"/>
                <w:szCs w:val="21"/>
                <w:color w:val="auto"/>
              </w:rPr>
            </w:pPr>
          </w:p>
        </w:tc>
        <w:tc>
          <w:tcPr>
            <w:tcW w:w="1260" w:type="dxa"/>
            <w:vAlign w:val="bottom"/>
            <w:gridSpan w:val="3"/>
            <w:shd w:val="clear" w:color="auto" w:fill="CFF0FC"/>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160" w:type="dxa"/>
            <w:vAlign w:val="bottom"/>
            <w:gridSpan w:val="2"/>
          </w:tcPr>
          <w:p>
            <w:pPr>
              <w:ind w:left="20"/>
              <w:spacing w:after="0"/>
              <w:rPr>
                <w:sz w:val="20"/>
                <w:szCs w:val="20"/>
                <w:color w:val="auto"/>
              </w:rPr>
            </w:pPr>
            <w:r>
              <w:rPr>
                <w:rFonts w:ascii="Arial" w:cs="Arial" w:eastAsia="Arial" w:hAnsi="Arial"/>
                <w:sz w:val="18"/>
                <w:szCs w:val="18"/>
                <w:color w:val="auto"/>
                <w:w w:val="94"/>
              </w:rPr>
              <w:t>Withholding taxes on net share settlement of restricted</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stock units</w:t>
            </w:r>
          </w:p>
        </w:tc>
        <w:tc>
          <w:tcPr>
            <w:tcW w:w="880" w:type="dxa"/>
            <w:vAlign w:val="bottom"/>
          </w:tcPr>
          <w:p>
            <w:pPr>
              <w:spacing w:after="0"/>
              <w:rPr>
                <w:sz w:val="20"/>
                <w:szCs w:val="20"/>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gridSpan w:val="3"/>
          </w:tcPr>
          <w:p>
            <w:pPr>
              <w:jc w:val="right"/>
              <w:ind w:right="250"/>
              <w:spacing w:after="0"/>
              <w:rPr>
                <w:sz w:val="20"/>
                <w:szCs w:val="20"/>
                <w:color w:val="auto"/>
              </w:rPr>
            </w:pPr>
            <w:r>
              <w:rPr>
                <w:rFonts w:ascii="Arial" w:cs="Arial" w:eastAsia="Arial" w:hAnsi="Arial"/>
                <w:sz w:val="18"/>
                <w:szCs w:val="18"/>
                <w:color w:val="auto"/>
                <w:w w:val="77"/>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(222 )</w:t>
            </w:r>
          </w:p>
        </w:tc>
        <w:tc>
          <w:tcPr>
            <w:tcW w:w="160" w:type="dxa"/>
            <w:vAlign w:val="bottom"/>
          </w:tcPr>
          <w:p>
            <w:pPr>
              <w:spacing w:after="0"/>
              <w:rPr>
                <w:sz w:val="20"/>
                <w:szCs w:val="20"/>
                <w:color w:val="auto"/>
              </w:rPr>
            </w:pPr>
          </w:p>
        </w:tc>
        <w:tc>
          <w:tcPr>
            <w:tcW w:w="1260" w:type="dxa"/>
            <w:vAlign w:val="bottom"/>
            <w:gridSpan w:val="3"/>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250"/>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Employee stock purchase plan purchases</w:t>
            </w:r>
          </w:p>
        </w:tc>
        <w:tc>
          <w:tcPr>
            <w:tcW w:w="12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78,534</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50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w w:val="77"/>
              </w:rPr>
              <w:t>—</w:t>
            </w:r>
          </w:p>
        </w:tc>
        <w:tc>
          <w:tcPr>
            <w:tcW w:w="14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28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1260" w:type="dxa"/>
            <w:vAlign w:val="bottom"/>
            <w:gridSpan w:val="3"/>
            <w:shd w:val="clear" w:color="auto" w:fill="CFF0FC"/>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880" w:type="dxa"/>
            <w:vAlign w:val="bottom"/>
          </w:tcPr>
          <w:p>
            <w:pPr>
              <w:spacing w:after="0"/>
              <w:rPr>
                <w:sz w:val="20"/>
                <w:szCs w:val="20"/>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gridSpan w:val="3"/>
          </w:tcPr>
          <w:p>
            <w:pPr>
              <w:jc w:val="right"/>
              <w:ind w:right="250"/>
              <w:spacing w:after="0"/>
              <w:rPr>
                <w:sz w:val="20"/>
                <w:szCs w:val="20"/>
                <w:color w:val="auto"/>
              </w:rPr>
            </w:pPr>
            <w:r>
              <w:rPr>
                <w:rFonts w:ascii="Arial" w:cs="Arial" w:eastAsia="Arial" w:hAnsi="Arial"/>
                <w:sz w:val="18"/>
                <w:szCs w:val="18"/>
                <w:color w:val="auto"/>
                <w:w w:val="77"/>
              </w:rPr>
              <w:t>—</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7,265</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3"/>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7,265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8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7"/>
              </w:rPr>
              <w:t>—</w:t>
            </w:r>
          </w:p>
        </w:tc>
        <w:tc>
          <w:tcPr>
            <w:tcW w:w="320" w:type="dxa"/>
            <w:vAlign w:val="bottom"/>
            <w:gridSpan w:val="2"/>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60" w:type="dxa"/>
            <w:vAlign w:val="bottom"/>
            <w:tcBorders>
              <w:left w:val="single" w:sz="8" w:color="CFF0FC"/>
            </w:tcBorders>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(31,821 )</w:t>
            </w:r>
          </w:p>
        </w:tc>
        <w:tc>
          <w:tcPr>
            <w:tcW w:w="2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(31,821 )</w:t>
            </w:r>
          </w:p>
        </w:tc>
        <w:tc>
          <w:tcPr>
            <w:tcW w:w="0" w:type="dxa"/>
            <w:vAlign w:val="bottom"/>
          </w:tcPr>
          <w:p>
            <w:pPr>
              <w:spacing w:after="0"/>
              <w:rPr>
                <w:sz w:val="1"/>
                <w:szCs w:val="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tcBorders>
              <w:left w:val="single" w:sz="8" w:color="CFF0FC"/>
            </w:tcBorders>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16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48,649,343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73"/>
              </w:rPr>
              <w:t>49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407,146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(271,064 )</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136,131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-2682240</wp:posOffset>
            </wp:positionV>
            <wp:extent cx="857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-2682240</wp:posOffset>
            </wp:positionV>
            <wp:extent cx="8572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-2682240</wp:posOffset>
            </wp:positionV>
            <wp:extent cx="7683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-2682240</wp:posOffset>
            </wp:positionV>
            <wp:extent cx="85725"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-2682240</wp:posOffset>
            </wp:positionV>
            <wp:extent cx="85725"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-187960</wp:posOffset>
            </wp:positionV>
            <wp:extent cx="85725"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-187960</wp:posOffset>
            </wp:positionV>
            <wp:extent cx="85725"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-187960</wp:posOffset>
            </wp:positionV>
            <wp:extent cx="85725"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-187960</wp:posOffset>
            </wp:positionV>
            <wp:extent cx="85725"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0"/>
          </w:tcPr>
          <w:p>
            <w:pPr>
              <w:ind w:left="540"/>
              <w:spacing w:after="0"/>
              <w:rPr>
                <w:sz w:val="20"/>
                <w:szCs w:val="20"/>
                <w:color w:val="auto"/>
              </w:rPr>
            </w:pPr>
            <w:r>
              <w:rPr>
                <w:rFonts w:ascii="Arial" w:cs="Arial" w:eastAsia="Arial" w:hAnsi="Arial"/>
                <w:sz w:val="14"/>
                <w:szCs w:val="14"/>
                <w:b w:val="1"/>
                <w:bCs w:val="1"/>
                <w:color w:val="auto"/>
                <w:w w:val="94"/>
              </w:rPr>
              <w:t>Three Months Ended June 30, 2022</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4"/>
          </w:tcPr>
          <w:p>
            <w:pPr>
              <w:jc w:val="center"/>
              <w:ind w:right="560"/>
              <w:spacing w:after="0" w:line="133"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jc w:val="center"/>
              <w:ind w:right="341"/>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37"/>
              <w:spacing w:after="0" w:line="133"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128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41"/>
              <w:spacing w:after="0"/>
              <w:rPr>
                <w:sz w:val="20"/>
                <w:szCs w:val="20"/>
                <w:color w:val="auto"/>
              </w:rPr>
            </w:pPr>
            <w:r>
              <w:rPr>
                <w:rFonts w:ascii="Arial" w:cs="Arial" w:eastAsia="Arial" w:hAnsi="Arial"/>
                <w:sz w:val="14"/>
                <w:szCs w:val="14"/>
                <w:b w:val="1"/>
                <w:bCs w:val="1"/>
                <w:color w:val="auto"/>
                <w:w w:val="93"/>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47,590,348</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gridSpan w:val="2"/>
            <w:shd w:val="clear" w:color="auto" w:fill="CFF0FC"/>
          </w:tcPr>
          <w:p>
            <w:pPr>
              <w:ind w:left="700"/>
              <w:spacing w:after="0"/>
              <w:rPr>
                <w:sz w:val="20"/>
                <w:szCs w:val="20"/>
                <w:color w:val="auto"/>
              </w:rPr>
            </w:pPr>
            <w:r>
              <w:rPr>
                <w:rFonts w:ascii="Arial" w:cs="Arial" w:eastAsia="Arial" w:hAnsi="Arial"/>
                <w:sz w:val="18"/>
                <w:szCs w:val="18"/>
                <w:color w:val="auto"/>
                <w:w w:val="89"/>
              </w:rPr>
              <w:t>48</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388,127</w:t>
            </w: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(176,264</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211,911</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20"/>
              <w:spacing w:after="0"/>
              <w:rPr>
                <w:sz w:val="20"/>
                <w:szCs w:val="20"/>
                <w:color w:val="auto"/>
              </w:rPr>
            </w:pPr>
            <w:r>
              <w:rPr>
                <w:rFonts w:ascii="Arial" w:cs="Arial" w:eastAsia="Arial" w:hAnsi="Arial"/>
                <w:sz w:val="18"/>
                <w:szCs w:val="18"/>
                <w:color w:val="auto"/>
              </w:rPr>
              <w:t>Issuance of common stock upon exercise of</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229,358</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4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81"/>
              <w:spacing w:after="0"/>
              <w:rPr>
                <w:sz w:val="20"/>
                <w:szCs w:val="20"/>
                <w:color w:val="auto"/>
              </w:rPr>
            </w:pPr>
            <w:r>
              <w:rPr>
                <w:rFonts w:ascii="Arial" w:cs="Arial" w:eastAsia="Arial" w:hAnsi="Arial"/>
                <w:sz w:val="18"/>
                <w:szCs w:val="18"/>
                <w:color w:val="auto"/>
              </w:rPr>
              <w:t>(23,843 )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(23,843 )</w:t>
            </w:r>
          </w:p>
        </w:tc>
        <w:tc>
          <w:tcPr>
            <w:tcW w:w="0" w:type="dxa"/>
            <w:vAlign w:val="bottom"/>
          </w:tcPr>
          <w:p>
            <w:pPr>
              <w:spacing w:after="0"/>
              <w:rPr>
                <w:sz w:val="1"/>
                <w:szCs w:val="1"/>
                <w:color w:val="auto"/>
              </w:rPr>
            </w:pPr>
          </w:p>
        </w:tc>
      </w:tr>
      <w:tr>
        <w:trPr>
          <w:trHeight w:val="278"/>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47,819,706</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900" w:type="dxa"/>
            <w:vAlign w:val="bottom"/>
            <w:tcBorders>
              <w:top w:val="single" w:sz="8" w:color="auto"/>
              <w:bottom w:val="single" w:sz="8" w:color="auto"/>
            </w:tcBorders>
            <w:gridSpan w:val="2"/>
            <w:shd w:val="clear" w:color="auto" w:fill="CFF0FC"/>
          </w:tcPr>
          <w:p>
            <w:pPr>
              <w:ind w:left="700"/>
              <w:spacing w:after="0"/>
              <w:rPr>
                <w:sz w:val="20"/>
                <w:szCs w:val="20"/>
                <w:color w:val="auto"/>
              </w:rPr>
            </w:pPr>
            <w:r>
              <w:rPr>
                <w:rFonts w:ascii="Arial" w:cs="Arial" w:eastAsia="Arial" w:hAnsi="Arial"/>
                <w:sz w:val="18"/>
                <w:szCs w:val="18"/>
                <w:color w:val="auto"/>
                <w:w w:val="89"/>
              </w:rPr>
              <w:t>48</w:t>
            </w:r>
          </w:p>
        </w:tc>
        <w:tc>
          <w:tcPr>
            <w:tcW w:w="2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391,818</w:t>
            </w:r>
          </w:p>
        </w:tc>
        <w:tc>
          <w:tcPr>
            <w:tcW w:w="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10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(200,107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191,759</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781"/>
        </w:trPr>
        <w:tc>
          <w:tcPr>
            <w:tcW w:w="3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2"/>
          </w:tcPr>
          <w:p>
            <w:pPr>
              <w:jc w:val="right"/>
              <w:ind w:right="1081"/>
              <w:spacing w:after="0"/>
              <w:rPr>
                <w:sz w:val="20"/>
                <w:szCs w:val="20"/>
                <w:color w:val="auto"/>
              </w:rPr>
            </w:pPr>
            <w:r>
              <w:rPr>
                <w:rFonts w:ascii="Arial" w:cs="Arial" w:eastAsia="Arial" w:hAnsi="Arial"/>
                <w:sz w:val="14"/>
                <w:szCs w:val="14"/>
                <w:b w:val="1"/>
                <w:bCs w:val="1"/>
                <w:color w:val="auto"/>
                <w:w w:val="97"/>
              </w:rPr>
              <w:t>Six Months Ended June 30, 2022</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5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vMerge w:val="restart"/>
          </w:tcPr>
          <w:p>
            <w:pPr>
              <w:jc w:val="center"/>
              <w:ind w:right="361"/>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right="117"/>
              <w:spacing w:after="0" w:line="133" w:lineRule="exact"/>
              <w:rPr>
                <w:sz w:val="20"/>
                <w:szCs w:val="20"/>
                <w:color w:val="auto"/>
              </w:rPr>
            </w:pPr>
            <w:r>
              <w:rPr>
                <w:rFonts w:ascii="Arial" w:cs="Arial" w:eastAsia="Arial" w:hAnsi="Arial"/>
                <w:sz w:val="14"/>
                <w:szCs w:val="14"/>
                <w:b w:val="1"/>
                <w:bCs w:val="1"/>
                <w:color w:val="auto"/>
                <w:w w:val="89"/>
              </w:rPr>
              <w:t>Total</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Paid-In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69"/>
        </w:trPr>
        <w:tc>
          <w:tcPr>
            <w:tcW w:w="3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4"/>
          </w:tcPr>
          <w:p>
            <w:pPr>
              <w:ind w:left="4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361"/>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37"/>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460" w:type="dxa"/>
            <w:vAlign w:val="bottom"/>
            <w:shd w:val="clear" w:color="auto" w:fill="CFF0FC"/>
          </w:tcPr>
          <w:p>
            <w:pPr>
              <w:spacing w:after="0"/>
              <w:rPr>
                <w:sz w:val="20"/>
                <w:szCs w:val="20"/>
                <w:color w:val="auto"/>
              </w:rPr>
            </w:pPr>
          </w:p>
        </w:tc>
        <w:tc>
          <w:tcPr>
            <w:tcW w:w="12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47,504,704</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48</w:t>
            </w:r>
          </w:p>
        </w:tc>
        <w:tc>
          <w:tcPr>
            <w:tcW w:w="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385,060</w:t>
            </w:r>
          </w:p>
        </w:tc>
        <w:tc>
          <w:tcPr>
            <w:tcW w:w="2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(153,001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20"/>
                <w:szCs w:val="20"/>
                <w:color w:val="auto"/>
              </w:rPr>
            </w:pPr>
          </w:p>
        </w:tc>
        <w:tc>
          <w:tcPr>
            <w:tcW w:w="2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232,107</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20"/>
              <w:spacing w:after="0"/>
              <w:rPr>
                <w:sz w:val="20"/>
                <w:szCs w:val="20"/>
                <w:color w:val="auto"/>
              </w:rPr>
            </w:pPr>
            <w:r>
              <w:rPr>
                <w:rFonts w:ascii="Arial" w:cs="Arial" w:eastAsia="Arial" w:hAnsi="Arial"/>
                <w:sz w:val="18"/>
                <w:szCs w:val="18"/>
                <w:color w:val="auto"/>
                <w:w w:val="92"/>
              </w:rPr>
              <w:t>Issuance of common stock upon exercise of stock</w:t>
            </w: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options</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315,002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gridSpan w:val="3"/>
          </w:tcPr>
          <w:p>
            <w:pPr>
              <w:jc w:val="right"/>
              <w:ind w:right="2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252</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3"/>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 expense</w:t>
            </w:r>
          </w:p>
        </w:tc>
        <w:tc>
          <w:tcPr>
            <w:tcW w:w="4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540" w:type="dxa"/>
            <w:vAlign w:val="bottom"/>
            <w:gridSpan w:val="3"/>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6,506</w:t>
            </w:r>
          </w:p>
        </w:tc>
        <w:tc>
          <w:tcPr>
            <w:tcW w:w="2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gridSpan w:val="3"/>
            <w:shd w:val="clear" w:color="auto" w:fill="CFF0FC"/>
          </w:tcPr>
          <w:p>
            <w:pPr>
              <w:jc w:val="right"/>
              <w:ind w:right="261"/>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6,506</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gridSpan w:val="3"/>
          </w:tcPr>
          <w:p>
            <w:pPr>
              <w:jc w:val="right"/>
              <w:ind w:right="2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(47,106 )</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(47,106 )</w:t>
            </w:r>
          </w:p>
        </w:tc>
        <w:tc>
          <w:tcPr>
            <w:tcW w:w="0" w:type="dxa"/>
            <w:vAlign w:val="bottom"/>
          </w:tcPr>
          <w:p>
            <w:pPr>
              <w:spacing w:after="0"/>
              <w:rPr>
                <w:sz w:val="1"/>
                <w:szCs w:val="1"/>
                <w:color w:val="auto"/>
              </w:rPr>
            </w:pPr>
          </w:p>
        </w:tc>
      </w:tr>
      <w:tr>
        <w:trPr>
          <w:trHeight w:val="279"/>
        </w:trPr>
        <w:tc>
          <w:tcPr>
            <w:tcW w:w="3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460" w:type="dxa"/>
            <w:vAlign w:val="bottom"/>
            <w:tcBorders>
              <w:bottom w:val="single" w:sz="8" w:color="CFF0FC"/>
            </w:tcBorders>
            <w:shd w:val="clear" w:color="auto" w:fill="CFF0FC"/>
          </w:tcPr>
          <w:p>
            <w:pPr>
              <w:spacing w:after="0"/>
              <w:rPr>
                <w:sz w:val="24"/>
                <w:szCs w:val="24"/>
                <w:color w:val="auto"/>
              </w:rPr>
            </w:pPr>
          </w:p>
        </w:tc>
        <w:tc>
          <w:tcPr>
            <w:tcW w:w="12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47,819,706</w:t>
            </w:r>
          </w:p>
        </w:tc>
        <w:tc>
          <w:tcPr>
            <w:tcW w:w="1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48</w:t>
            </w:r>
          </w:p>
        </w:tc>
        <w:tc>
          <w:tcPr>
            <w:tcW w:w="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391,818</w:t>
            </w:r>
          </w:p>
        </w:tc>
        <w:tc>
          <w:tcPr>
            <w:tcW w:w="26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top w:val="single" w:sz="8" w:color="auto"/>
              <w:bottom w:val="single" w:sz="8" w:color="auto"/>
            </w:tcBorders>
            <w:shd w:val="clear" w:color="auto" w:fill="CFF0FC"/>
          </w:tcPr>
          <w:p>
            <w:pPr>
              <w:spacing w:after="0"/>
              <w:rPr>
                <w:sz w:val="24"/>
                <w:szCs w:val="24"/>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(200,107</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top w:val="single" w:sz="8" w:color="auto"/>
              <w:bottom w:val="single" w:sz="8" w:color="auto"/>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191,759</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-1807845</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3168015</wp:posOffset>
            </wp:positionH>
            <wp:positionV relativeFrom="paragraph">
              <wp:posOffset>-1791335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-1807845</wp:posOffset>
            </wp:positionV>
            <wp:extent cx="857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-1791335</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-1807845</wp:posOffset>
            </wp:positionV>
            <wp:extent cx="857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-1791335</wp:posOffset>
            </wp:positionV>
            <wp:extent cx="857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-1807845</wp:posOffset>
            </wp:positionV>
            <wp:extent cx="857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-1791335</wp:posOffset>
            </wp:positionV>
            <wp:extent cx="857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-1807845</wp:posOffset>
            </wp:positionV>
            <wp:extent cx="857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-1791335</wp:posOffset>
            </wp:positionV>
            <wp:extent cx="857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-25400</wp:posOffset>
            </wp:positionV>
            <wp:extent cx="857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857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857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857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-25400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-8255</wp:posOffset>
            </wp:positionV>
            <wp:extent cx="857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857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857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Six Months Ended</w:t>
            </w: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4"/>
        </w:trPr>
        <w:tc>
          <w:tcPr>
            <w:tcW w:w="71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June 30,</w:t>
            </w:r>
          </w:p>
        </w:tc>
        <w:tc>
          <w:tcPr>
            <w:tcW w:w="1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1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8"/>
                <w:szCs w:val="18"/>
                <w:color w:val="auto"/>
              </w:rPr>
            </w:pPr>
          </w:p>
        </w:tc>
      </w:tr>
      <w:tr>
        <w:trPr>
          <w:trHeight w:val="237"/>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00" w:type="dxa"/>
            <w:vAlign w:val="bottom"/>
          </w:tcPr>
          <w:p>
            <w:pPr>
              <w:jc w:val="right"/>
              <w:ind w:right="914"/>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(31,821 )</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(47,106 )</w:t>
            </w: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Depreciation</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295</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Accretion of debt discount and amortization of debt issuance costs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7,265</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6,506</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Provision for credit losses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Provision for excess and obsolete inventories</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208</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operating lease expense</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Loss on disposal of property and equipment</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1100" w:type="dxa"/>
            <w:vAlign w:val="bottom"/>
          </w:tcPr>
          <w:p>
            <w:pPr>
              <w:spacing w:after="0"/>
              <w:rPr>
                <w:sz w:val="20"/>
                <w:szCs w:val="20"/>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(2,995 )</w:t>
            </w:r>
          </w:p>
        </w:tc>
        <w:tc>
          <w:tcPr>
            <w:tcW w:w="5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(1,870 )</w:t>
            </w: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Inventory</w:t>
            </w:r>
          </w:p>
        </w:tc>
        <w:tc>
          <w:tcPr>
            <w:tcW w:w="1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(2,001 )</w:t>
            </w:r>
          </w:p>
        </w:tc>
        <w:tc>
          <w:tcPr>
            <w:tcW w:w="5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(1,583 )</w:t>
            </w: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1,622</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2,129</w:t>
            </w:r>
          </w:p>
        </w:tc>
        <w:tc>
          <w:tcPr>
            <w:tcW w:w="140" w:type="dxa"/>
            <w:vAlign w:val="bottom"/>
          </w:tcPr>
          <w:p>
            <w:pPr>
              <w:spacing w:after="0"/>
              <w:rPr>
                <w:sz w:val="20"/>
                <w:szCs w:val="20"/>
                <w:color w:val="auto"/>
              </w:rPr>
            </w:pP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noncurrent assets</w:t>
            </w:r>
          </w:p>
        </w:tc>
        <w:tc>
          <w:tcPr>
            <w:tcW w:w="1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(156 )</w:t>
            </w:r>
          </w:p>
        </w:tc>
        <w:tc>
          <w:tcPr>
            <w:tcW w:w="5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(34 )</w:t>
            </w: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(608 )</w:t>
            </w:r>
          </w:p>
        </w:tc>
      </w:tr>
      <w:tr>
        <w:trPr>
          <w:trHeight w:val="249"/>
        </w:trPr>
        <w:tc>
          <w:tcPr>
            <w:tcW w:w="71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compensation</w:t>
            </w:r>
          </w:p>
        </w:tc>
        <w:tc>
          <w:tcPr>
            <w:tcW w:w="1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(1,632 )</w:t>
            </w:r>
          </w:p>
        </w:tc>
        <w:tc>
          <w:tcPr>
            <w:tcW w:w="5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0"/>
              <w:spacing w:after="0"/>
              <w:rPr>
                <w:sz w:val="20"/>
                <w:szCs w:val="20"/>
                <w:color w:val="auto"/>
              </w:rPr>
            </w:pPr>
            <w:r>
              <w:rPr>
                <w:rFonts w:ascii="Arial" w:cs="Arial" w:eastAsia="Arial" w:hAnsi="Arial"/>
                <w:sz w:val="18"/>
                <w:szCs w:val="18"/>
                <w:color w:val="auto"/>
              </w:rPr>
              <w:t>Accrued and other current liabilities</w:t>
            </w:r>
          </w:p>
        </w:tc>
        <w:tc>
          <w:tcPr>
            <w:tcW w:w="1100" w:type="dxa"/>
            <w:vAlign w:val="bottom"/>
          </w:tcPr>
          <w:p>
            <w:pPr>
              <w:spacing w:after="0"/>
              <w:rPr>
                <w:sz w:val="20"/>
                <w:szCs w:val="20"/>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(2,894 )</w:t>
            </w:r>
          </w:p>
        </w:tc>
        <w:tc>
          <w:tcPr>
            <w:tcW w:w="5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599</w:t>
            </w:r>
          </w:p>
        </w:tc>
        <w:tc>
          <w:tcPr>
            <w:tcW w:w="140" w:type="dxa"/>
            <w:vAlign w:val="bottom"/>
          </w:tcPr>
          <w:p>
            <w:pPr>
              <w:spacing w:after="0"/>
              <w:rPr>
                <w:sz w:val="20"/>
                <w:szCs w:val="20"/>
                <w:color w:val="auto"/>
              </w:rPr>
            </w:pPr>
          </w:p>
        </w:tc>
      </w:tr>
      <w:tr>
        <w:trPr>
          <w:trHeight w:val="243"/>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noncurrent liabilities</w:t>
            </w:r>
          </w:p>
        </w:tc>
        <w:tc>
          <w:tcPr>
            <w:tcW w:w="11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34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9"/>
        </w:trPr>
        <w:tc>
          <w:tcPr>
            <w:tcW w:w="7180" w:type="dxa"/>
            <w:vAlign w:val="bottom"/>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1100" w:type="dxa"/>
            <w:vAlign w:val="bottom"/>
          </w:tcPr>
          <w:p>
            <w:pPr>
              <w:spacing w:after="0"/>
              <w:rPr>
                <w:sz w:val="20"/>
                <w:szCs w:val="20"/>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(30,872 )</w:t>
            </w:r>
          </w:p>
        </w:tc>
        <w:tc>
          <w:tcPr>
            <w:tcW w:w="5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(40,271 )</w:t>
            </w:r>
          </w:p>
        </w:tc>
      </w:tr>
      <w:tr>
        <w:trPr>
          <w:trHeight w:val="241"/>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1100" w:type="dxa"/>
            <w:vAlign w:val="bottom"/>
          </w:tcPr>
          <w:p>
            <w:pPr>
              <w:spacing w:after="0"/>
              <w:rPr>
                <w:sz w:val="20"/>
                <w:szCs w:val="20"/>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(223 )</w:t>
            </w:r>
          </w:p>
        </w:tc>
        <w:tc>
          <w:tcPr>
            <w:tcW w:w="58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(569 )</w:t>
            </w:r>
          </w:p>
        </w:tc>
      </w:tr>
      <w:tr>
        <w:trPr>
          <w:trHeight w:val="238"/>
        </w:trPr>
        <w:tc>
          <w:tcPr>
            <w:tcW w:w="71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Net cash used in investing activities</w:t>
            </w:r>
          </w:p>
        </w:tc>
        <w:tc>
          <w:tcPr>
            <w:tcW w:w="110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34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exercise of common stock options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40" w:type="dxa"/>
            <w:vAlign w:val="bottom"/>
            <w:shd w:val="clear" w:color="auto" w:fill="CFF0FC"/>
          </w:tcPr>
          <w:p>
            <w:pPr>
              <w:spacing w:after="0"/>
              <w:rPr>
                <w:sz w:val="21"/>
                <w:szCs w:val="21"/>
                <w:color w:val="auto"/>
              </w:rPr>
            </w:pP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Taxes paid on the net share settlement of restricted stock units</w:t>
            </w:r>
          </w:p>
        </w:tc>
        <w:tc>
          <w:tcPr>
            <w:tcW w:w="1100" w:type="dxa"/>
            <w:vAlign w:val="bottom"/>
          </w:tcPr>
          <w:p>
            <w:pPr>
              <w:spacing w:after="0"/>
              <w:rPr>
                <w:sz w:val="20"/>
                <w:szCs w:val="20"/>
                <w:color w:val="auto"/>
              </w:rPr>
            </w:pP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(222 )</w:t>
            </w:r>
          </w:p>
        </w:tc>
        <w:tc>
          <w:tcPr>
            <w:tcW w:w="580" w:type="dxa"/>
            <w:vAlign w:val="bottom"/>
          </w:tcPr>
          <w:p>
            <w:pPr>
              <w:spacing w:after="0"/>
              <w:rPr>
                <w:sz w:val="20"/>
                <w:szCs w:val="20"/>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employee stock purchase plan purchases</w:t>
            </w:r>
          </w:p>
        </w:tc>
        <w:tc>
          <w:tcPr>
            <w:tcW w:w="11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w:t>
            </w: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r>
      <w:tr>
        <w:trPr>
          <w:trHeight w:val="239"/>
        </w:trPr>
        <w:tc>
          <w:tcPr>
            <w:tcW w:w="7180" w:type="dxa"/>
            <w:vAlign w:val="bottom"/>
            <w:tcBorders>
              <w:top w:val="single" w:sz="8" w:color="CFF0FC"/>
            </w:tcBorders>
          </w:tcPr>
          <w:p>
            <w:pPr>
              <w:ind w:left="200"/>
              <w:spacing w:after="0"/>
              <w:rPr>
                <w:sz w:val="20"/>
                <w:szCs w:val="20"/>
                <w:color w:val="auto"/>
              </w:rPr>
            </w:pPr>
            <w:r>
              <w:rPr>
                <w:rFonts w:ascii="Arial" w:cs="Arial" w:eastAsia="Arial" w:hAnsi="Arial"/>
                <w:sz w:val="18"/>
                <w:szCs w:val="18"/>
                <w:b w:val="1"/>
                <w:bCs w:val="1"/>
                <w:color w:val="auto"/>
              </w:rPr>
              <w:t>Net cash provided by financing activities</w:t>
            </w:r>
          </w:p>
        </w:tc>
        <w:tc>
          <w:tcPr>
            <w:tcW w:w="1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340" w:type="dxa"/>
            <w:vAlign w:val="bottom"/>
            <w:tcBorders>
              <w:top w:val="single" w:sz="8" w:color="CFF0FC"/>
            </w:tcBorders>
          </w:tcPr>
          <w:p>
            <w:pPr>
              <w:spacing w:after="0"/>
              <w:rPr>
                <w:sz w:val="20"/>
                <w:szCs w:val="20"/>
                <w:color w:val="auto"/>
              </w:rPr>
            </w:pPr>
          </w:p>
        </w:tc>
        <w:tc>
          <w:tcPr>
            <w:tcW w:w="58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top w:val="single" w:sz="8" w:color="CFF0FC"/>
            </w:tcBorders>
          </w:tcPr>
          <w:p>
            <w:pPr>
              <w:spacing w:after="0"/>
              <w:rPr>
                <w:sz w:val="20"/>
                <w:szCs w:val="20"/>
                <w:color w:val="auto"/>
              </w:rPr>
            </w:pPr>
          </w:p>
        </w:tc>
      </w:tr>
      <w:tr>
        <w:trPr>
          <w:trHeight w:val="241"/>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11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(30,485</w:t>
            </w:r>
          </w:p>
        </w:tc>
        <w:tc>
          <w:tcPr>
            <w:tcW w:w="34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(40,590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r>
      <w:tr>
        <w:trPr>
          <w:trHeight w:val="237"/>
        </w:trPr>
        <w:tc>
          <w:tcPr>
            <w:tcW w:w="718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1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185,000</w:t>
            </w:r>
          </w:p>
        </w:tc>
        <w:tc>
          <w:tcPr>
            <w:tcW w:w="3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260,687</w:t>
            </w:r>
          </w:p>
        </w:tc>
        <w:tc>
          <w:tcPr>
            <w:tcW w:w="140" w:type="dxa"/>
            <w:vAlign w:val="bottom"/>
          </w:tcPr>
          <w:p>
            <w:pPr>
              <w:spacing w:after="0"/>
              <w:rPr>
                <w:sz w:val="20"/>
                <w:szCs w:val="20"/>
                <w:color w:val="auto"/>
              </w:rPr>
            </w:pPr>
          </w:p>
        </w:tc>
      </w:tr>
      <w:tr>
        <w:trPr>
          <w:trHeight w:val="276"/>
        </w:trPr>
        <w:tc>
          <w:tcPr>
            <w:tcW w:w="7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1100" w:type="dxa"/>
            <w:vAlign w:val="bottom"/>
            <w:tcBorders>
              <w:bottom w:val="single" w:sz="8" w:color="auto"/>
            </w:tcBorders>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154,515</w:t>
            </w:r>
          </w:p>
        </w:tc>
        <w:tc>
          <w:tcPr>
            <w:tcW w:w="34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220,097</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466"/>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50"/>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interest</w:t>
            </w:r>
          </w:p>
        </w:tc>
        <w:tc>
          <w:tcPr>
            <w:tcW w:w="1100" w:type="dxa"/>
            <w:vAlign w:val="bottom"/>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w:t>
            </w: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1,548</w:t>
            </w:r>
          </w:p>
        </w:tc>
        <w:tc>
          <w:tcPr>
            <w:tcW w:w="140" w:type="dxa"/>
            <w:vAlign w:val="bottom"/>
            <w:shd w:val="clear" w:color="auto" w:fill="CFF0FC"/>
          </w:tcPr>
          <w:p>
            <w:pPr>
              <w:spacing w:after="0"/>
              <w:rPr>
                <w:sz w:val="21"/>
                <w:szCs w:val="21"/>
                <w:color w:val="auto"/>
              </w:rPr>
            </w:pPr>
          </w:p>
        </w:tc>
      </w:tr>
      <w:tr>
        <w:trPr>
          <w:trHeight w:val="239"/>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Supplemental noncash disclosure</w:t>
            </w:r>
          </w:p>
        </w:tc>
        <w:tc>
          <w:tcPr>
            <w:tcW w:w="1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7"/>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Acquisition of property and equipment included in accounts payable and accrued liabilities</w:t>
            </w:r>
          </w:p>
        </w:tc>
        <w:tc>
          <w:tcPr>
            <w:tcW w:w="1100" w:type="dxa"/>
            <w:vAlign w:val="bottom"/>
            <w:shd w:val="clear" w:color="auto" w:fill="CFF0FC"/>
          </w:tcPr>
          <w:p>
            <w:pPr>
              <w:jc w:val="right"/>
              <w:ind w:right="914"/>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-2708275</wp:posOffset>
            </wp:positionV>
            <wp:extent cx="85725"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-2708275</wp:posOffset>
            </wp:positionV>
            <wp:extent cx="85725"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-2065655</wp:posOffset>
            </wp:positionV>
            <wp:extent cx="8572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-2065655</wp:posOffset>
            </wp:positionV>
            <wp:extent cx="85725"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-1439545</wp:posOffset>
            </wp:positionV>
            <wp:extent cx="8572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-1439545</wp:posOffset>
            </wp:positionV>
            <wp:extent cx="8572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-796925</wp:posOffset>
            </wp:positionV>
            <wp:extent cx="1449070" cy="3346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49070" cy="33464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t>SIGHT SCIENCES,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 Company and Nature of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1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Sight Sciences, Inc. (the “Company”) was incorporated in the State of Delaware in 2010 and is headquartered in Menlo Park, California. The Company is an ophthalmic medical device company focused on the development and commercialization of surgical and nonsurgical technologies for the treatment of prevalent eye diseases.</w:t>
      </w:r>
    </w:p>
    <w:p>
      <w:pPr>
        <w:spacing w:after="0" w:line="76"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The Company's product portfolio aligns with its two reportable operating segments: Surgical Glaucoma and Dry Eye. The products for the Surgical Glaucoma segment feature the OMNI® Surgical System, which is an implant-free glaucoma surgery technology indicated to reduce intraocular pressure in adult patients with primary open-angle glaucoma, the world's leading cause of irreversible blindness, and the SION™ Surgical Instrument, a manually operated device used in ophthalmic surgical procedures to excise trabecular meshwork. The product portfolio for the Dry Eye segment consists of the TearCare® System ("TearCare") for ophthalmologists and optometrists. TearCare is a wearable eyelid technology for adult patients with evaporative dry eye disease due to meibomian gland dysfunction (MGD) when used in conjunction with manual expression of the meibomian glands, enabling clearance of gland obstructions by physicians to address the leading cause of dry eye disease.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Significant Risks and Uncertainties</w:t>
      </w:r>
    </w:p>
    <w:p>
      <w:pPr>
        <w:spacing w:after="0" w:line="117" w:lineRule="exact"/>
        <w:rPr>
          <w:sz w:val="20"/>
          <w:szCs w:val="20"/>
          <w:color w:val="auto"/>
        </w:rPr>
      </w:pPr>
    </w:p>
    <w:p>
      <w:pPr>
        <w:ind w:right="100" w:firstLine="509"/>
        <w:spacing w:after="0" w:line="279" w:lineRule="auto"/>
        <w:rPr>
          <w:sz w:val="20"/>
          <w:szCs w:val="20"/>
          <w:color w:val="auto"/>
        </w:rPr>
      </w:pPr>
      <w:r>
        <w:rPr>
          <w:rFonts w:ascii="Arial" w:cs="Arial" w:eastAsia="Arial" w:hAnsi="Arial"/>
          <w:sz w:val="17"/>
          <w:szCs w:val="17"/>
          <w:color w:val="auto"/>
        </w:rPr>
        <w:t>Since inception, the Company has incurred losses and negative cash flows from operations. As of June 30, 2023, the Company had an accumulated deficit of $271.1 million and recorded a net loss of $31.8 million for the six months then ended and expects to incur additional losses in the future. If the Company’s revenue levels from its products are not sufficient or if the Company is unable to secure additional funding when desired, the Company may need to delay the development of its products, scale back its business and operations, or change its business strategy.</w:t>
      </w:r>
    </w:p>
    <w:p>
      <w:pPr>
        <w:spacing w:after="0" w:line="171"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The Company believes that its existing sources of liquidity will satisfy its working capital and capital requirements for at least 12 months from the issuance of its financial statements. Any failure to generate increased revenue, achieve improved gross margins, or control operating costs could require the Company to raise additional capital through equity or debt financing. Such additional financing may not be available on acceptable terms, or at all, and could require the Company to modify, delay, or abandon some of its planned future expansion or expenditures or reduce some of its ongoing operating costs, which could harm its business, operating results, financial condition, and ability to achieve its intended business objectives.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There have been no significant changes in the Company's significant accounting policies during the six months ended June 30, 2023, as compared with those disclosed in the 2022 Form 10-K.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The accompanying condensed consolidated financial statements are unaudited and have been prepared in accordance with generally accepted accounting principles in the United States of America (“GAAP”) applicable to interim periods and pursuant to the instructions to Form 10-Q and Article 10 of Regulation S-X.</w:t>
      </w:r>
    </w:p>
    <w:p>
      <w:pPr>
        <w:spacing w:after="0" w:line="76"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The unaudited consolidated financial statements have been prepared on a basis consistent with the audited financial statements. In the opinion of management, the unaudited consolidated financial statements reflect all adjustments, which include only normal recurring adjustments, necessary for the fair presentation of the Company's financial information contained herein. The condensed consolidated balance sheet as of December 31, 2022 has been derived from the audited financial statements at that date. These interim condensed consolidated financial statements do not include all disclosures required by GAAP and should be read in conjunction with the Company's financial statements and accompanying notes for the fiscal year ended December 31, 2022, which are contained in the 2022 Form 10-K . The Company's results of operations for the six months ended June 30, 2023 are not necessarily indicative of the results to be expected for the year ending December 31, 2023 or for any other interim period.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 w:name="page11"/>
    <w:bookmarkEnd w:id="10"/>
    <w:p>
      <w:pPr>
        <w:ind w:right="540" w:firstLine="509"/>
        <w:spacing w:after="0" w:line="277" w:lineRule="auto"/>
        <w:rPr>
          <w:sz w:val="20"/>
          <w:szCs w:val="20"/>
          <w:color w:val="auto"/>
        </w:rPr>
      </w:pPr>
      <w:r>
        <w:rPr>
          <w:rFonts w:ascii="Arial" w:cs="Arial" w:eastAsia="Arial" w:hAnsi="Arial"/>
          <w:sz w:val="18"/>
          <w:szCs w:val="18"/>
          <w:color w:val="auto"/>
        </w:rPr>
        <w:t>The accompanying condensed consolidated financial statements reflect the operations of the Company and its wholly-owned subsidiaries. All intercompany accounts and transactions have been eliminated.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231F20"/>
        </w:rPr>
        <w:t>The preparation of financial statements in conformity with GAAP requires management to make estimates and assumptions that affect the reported amounts of assets and liabilities, disclosure of contingent liabilities at the date of the financial statements, and the reported amounts of revenues and expenses during the reporting period. The most significant estimates related to the provision for credit losses, inventory excess and obsolescence, the selection of useful lives of property and equipment, determination of the fair value of stock option grants, and provisions for income taxes and contingencies. Management evaluates its estimates and assumptions on an ongoing basis using historical experience and other factors, including the current economic environment, and makes adjustments when facts and circumstances dictate. These estimates are based on information available as of the date of the financial statements. Actual results could differ from these estimates and such differences could be material to the Company’s financial position and results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Adopted</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amends the impairment model by requiring entities to use a forward-looking approach based on expected losses to estimate credit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on certain types of financial instruments, including trade receivables and available-for-sale debt securities. The guidance was effective for the Company beginning in the first quarter of 2023. The amendments in ASU 2016-13 were adopted with no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Not Yet Adopted</w:t>
      </w:r>
    </w:p>
    <w:p>
      <w:pPr>
        <w:spacing w:after="0" w:line="117"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color w:val="auto"/>
        </w:rPr>
        <w:t>As of June 30, 2023, there are no significant ASUs issued and not yet adopted that are expected to have a material impact on the Company's financial statements and related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12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84"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Level 1—Inputs are quoted prices (unadjusted) in active markets for identical assets or liabilities that the Company has the ability to access at the measurement date.</w:t>
      </w:r>
    </w:p>
    <w:p>
      <w:pPr>
        <w:spacing w:after="0" w:line="62" w:lineRule="exact"/>
        <w:rPr>
          <w:sz w:val="20"/>
          <w:szCs w:val="20"/>
          <w:color w:val="auto"/>
        </w:rPr>
      </w:pPr>
    </w:p>
    <w:p>
      <w:pPr>
        <w:ind w:right="140" w:firstLine="509"/>
        <w:spacing w:after="0" w:line="263" w:lineRule="auto"/>
        <w:rPr>
          <w:sz w:val="20"/>
          <w:szCs w:val="20"/>
          <w:color w:val="auto"/>
        </w:rPr>
      </w:pPr>
      <w:r>
        <w:rPr>
          <w:rFonts w:ascii="Arial" w:cs="Arial" w:eastAsia="Arial" w:hAnsi="Arial"/>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76"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Level 3—Inputs are unobservable inputs for the asset or liability. The level in the fair value hierarchy within which a fair value measurement in its entirety is based on the lowest-level input that is significant to the fair value measurement in its entirety.</w:t>
      </w:r>
    </w:p>
    <w:p>
      <w:pPr>
        <w:spacing w:after="0" w:line="170" w:lineRule="exact"/>
        <w:rPr>
          <w:sz w:val="20"/>
          <w:szCs w:val="20"/>
          <w:color w:val="auto"/>
        </w:rPr>
      </w:pPr>
    </w:p>
    <w:p>
      <w:pPr>
        <w:ind w:right="280" w:firstLine="509"/>
        <w:spacing w:after="0" w:line="263" w:lineRule="auto"/>
        <w:rPr>
          <w:sz w:val="20"/>
          <w:szCs w:val="20"/>
          <w:color w:val="auto"/>
        </w:rPr>
      </w:pPr>
      <w:r>
        <w:rPr>
          <w:rFonts w:ascii="Arial" w:cs="Arial" w:eastAsia="Arial" w:hAnsi="Arial"/>
          <w:sz w:val="18"/>
          <w:szCs w:val="18"/>
          <w:color w:val="auto"/>
        </w:rPr>
        <w:t>The Company's cash and cash equivalents included $123.4 million of treasury bills as of June 30, 2023. These securities are classified as held-to-maturity and all have been purchased with original maturities of 90 days or less. Held-to-maturity debt securities are recorded at amortized cost in the financial statements.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tbl>
      <w:tblPr>
        <w:tblLayout w:type="fixed"/>
        <w:tblInd w:w="120" w:type="dxa"/>
        <w:tblCellMar>
          <w:top w:w="0" w:type="dxa"/>
          <w:left w:w="0" w:type="dxa"/>
          <w:bottom w:w="0" w:type="dxa"/>
          <w:right w:w="0" w:type="dxa"/>
        </w:tblCellMar>
      </w:tblPr>
      <w:tr>
        <w:trPr>
          <w:trHeight w:val="185"/>
        </w:trPr>
        <w:tc>
          <w:tcPr>
            <w:tcW w:w="3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3"/>
          </w:tcPr>
          <w:p>
            <w:pPr>
              <w:jc w:val="right"/>
              <w:ind w:right="1039"/>
              <w:spacing w:after="0"/>
              <w:rPr>
                <w:sz w:val="20"/>
                <w:szCs w:val="20"/>
                <w:color w:val="auto"/>
              </w:rPr>
            </w:pPr>
            <w:r>
              <w:rPr>
                <w:rFonts w:ascii="Arial" w:cs="Arial" w:eastAsia="Arial" w:hAnsi="Arial"/>
                <w:sz w:val="14"/>
                <w:szCs w:val="14"/>
                <w:b w:val="1"/>
                <w:bCs w:val="1"/>
                <w:color w:val="auto"/>
              </w:rPr>
              <w:t>June 30, 2023</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35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Amortized Cost</w:t>
            </w: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8"/>
              </w:rPr>
              <w:t>Unrealized Gains</w:t>
            </w:r>
          </w:p>
        </w:tc>
        <w:tc>
          <w:tcPr>
            <w:tcW w:w="120" w:type="dxa"/>
            <w:vAlign w:val="bottom"/>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4"/>
              </w:rPr>
              <w:t>Aggregate Fair Value</w:t>
            </w:r>
          </w:p>
        </w:tc>
        <w:tc>
          <w:tcPr>
            <w:tcW w:w="140" w:type="dxa"/>
            <w:vAlign w:val="bottom"/>
          </w:tcPr>
          <w:p>
            <w:pPr>
              <w:spacing w:after="0"/>
              <w:rPr>
                <w:sz w:val="14"/>
                <w:szCs w:val="14"/>
                <w:color w:val="auto"/>
              </w:rPr>
            </w:pPr>
          </w:p>
        </w:tc>
      </w:tr>
      <w:tr>
        <w:trPr>
          <w:trHeight w:val="236"/>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123,396</w:t>
            </w: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20"/>
                <w:szCs w:val="20"/>
                <w:color w:val="auto"/>
              </w:rPr>
            </w:pPr>
          </w:p>
        </w:tc>
        <w:tc>
          <w:tcPr>
            <w:tcW w:w="1560" w:type="dxa"/>
            <w:vAlign w:val="bottom"/>
            <w:shd w:val="clear" w:color="auto" w:fill="CFF0FC"/>
          </w:tcPr>
          <w:p>
            <w:pPr>
              <w:jc w:val="right"/>
              <w:ind w:right="1219"/>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123,438</w:t>
            </w:r>
          </w:p>
        </w:tc>
        <w:tc>
          <w:tcPr>
            <w:tcW w:w="140" w:type="dxa"/>
            <w:vAlign w:val="bottom"/>
            <w:shd w:val="clear" w:color="auto" w:fill="CFF0FC"/>
          </w:tcPr>
          <w:p>
            <w:pPr>
              <w:spacing w:after="0"/>
              <w:rPr>
                <w:sz w:val="20"/>
                <w:szCs w:val="20"/>
                <w:color w:val="auto"/>
              </w:rPr>
            </w:pPr>
          </w:p>
        </w:tc>
      </w:tr>
    </w:tbl>
    <w:p>
      <w:pPr>
        <w:spacing w:after="0" w:line="202"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The Company measures the fair value of outstanding debt for disclosure purposes on a recurring basis. As of June 30, 2023 and December 31, 2022, total debt of $33.6 million and $33.3 million is reported at amortized cost, respectively. This outstanding debt is classified as Level 2 as it is not actively traded. The amortized cost of the outstanding debt approximates the fair value.</w:t>
      </w:r>
    </w:p>
    <w:p>
      <w:pPr>
        <w:spacing w:after="0" w:line="184" w:lineRule="exact"/>
        <w:rPr>
          <w:sz w:val="20"/>
          <w:szCs w:val="20"/>
          <w:color w:val="auto"/>
        </w:rPr>
      </w:pPr>
    </w:p>
    <w:p>
      <w:pPr>
        <w:ind w:right="440" w:firstLine="509"/>
        <w:spacing w:after="0" w:line="277" w:lineRule="auto"/>
        <w:rPr>
          <w:sz w:val="20"/>
          <w:szCs w:val="20"/>
          <w:color w:val="auto"/>
        </w:rPr>
      </w:pPr>
      <w:r>
        <w:rPr>
          <w:rFonts w:ascii="Arial" w:cs="Arial" w:eastAsia="Arial" w:hAnsi="Arial"/>
          <w:sz w:val="18"/>
          <w:szCs w:val="18"/>
          <w:color w:val="auto"/>
        </w:rPr>
        <w:t>The financial statements as of June 30, 2023 and December 31, 2022 do not include any assets or liabilities that are measured at fair value on a nonrecurring basis.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 of June 30,</w:t>
            </w:r>
          </w:p>
        </w:tc>
        <w:tc>
          <w:tcPr>
            <w:tcW w:w="200" w:type="dxa"/>
            <w:vAlign w:val="bottom"/>
          </w:tcPr>
          <w:p>
            <w:pPr>
              <w:spacing w:after="0"/>
              <w:rPr>
                <w:sz w:val="15"/>
                <w:szCs w:val="15"/>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As of December 31,</w:t>
            </w:r>
          </w:p>
        </w:tc>
      </w:tr>
      <w:tr>
        <w:trPr>
          <w:trHeight w:val="185"/>
        </w:trPr>
        <w:tc>
          <w:tcPr>
            <w:tcW w:w="7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Tools and equipment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3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2,173</w:t>
            </w:r>
          </w:p>
        </w:tc>
        <w:tc>
          <w:tcPr>
            <w:tcW w:w="140" w:type="dxa"/>
            <w:vAlign w:val="bottom"/>
            <w:shd w:val="clear" w:color="auto" w:fill="CFF0FC"/>
          </w:tcPr>
          <w:p>
            <w:pPr>
              <w:spacing w:after="0"/>
              <w:rPr>
                <w:sz w:val="20"/>
                <w:szCs w:val="20"/>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r>
      <w:tr>
        <w:trPr>
          <w:trHeight w:val="249"/>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40" w:type="dxa"/>
            <w:vAlign w:val="bottom"/>
            <w:shd w:val="clear" w:color="auto" w:fill="CFF0FC"/>
          </w:tcPr>
          <w:p>
            <w:pPr>
              <w:spacing w:after="0"/>
              <w:rPr>
                <w:sz w:val="21"/>
                <w:szCs w:val="21"/>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20"/>
                <w:szCs w:val="20"/>
                <w:color w:val="auto"/>
              </w:rPr>
            </w:pPr>
          </w:p>
        </w:tc>
      </w:tr>
      <w:tr>
        <w:trPr>
          <w:trHeight w:val="243"/>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Construction in process</w:t>
            </w: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w:t>
            </w:r>
          </w:p>
        </w:tc>
        <w:tc>
          <w:tcPr>
            <w:tcW w:w="3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6"/>
        </w:trPr>
        <w:tc>
          <w:tcPr>
            <w:tcW w:w="7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2,784</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3,005</w:t>
            </w:r>
          </w:p>
        </w:tc>
        <w:tc>
          <w:tcPr>
            <w:tcW w:w="140" w:type="dxa"/>
            <w:vAlign w:val="bottom"/>
          </w:tcPr>
          <w:p>
            <w:pPr>
              <w:spacing w:after="0"/>
              <w:rPr>
                <w:sz w:val="20"/>
                <w:szCs w:val="20"/>
                <w:color w:val="auto"/>
              </w:rPr>
            </w:pPr>
          </w:p>
        </w:tc>
      </w:tr>
      <w:tr>
        <w:trPr>
          <w:trHeight w:val="243"/>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(1,307 )</w:t>
            </w:r>
          </w:p>
        </w:tc>
        <w:tc>
          <w:tcPr>
            <w:tcW w:w="20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(1,434 )</w:t>
            </w:r>
          </w:p>
        </w:tc>
      </w:tr>
      <w:tr>
        <w:trPr>
          <w:trHeight w:val="236"/>
        </w:trPr>
        <w:tc>
          <w:tcPr>
            <w:tcW w:w="736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w:t>
            </w:r>
          </w:p>
        </w:tc>
        <w:tc>
          <w:tcPr>
            <w:tcW w:w="32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140" w:type="dxa"/>
            <w:vAlign w:val="bottom"/>
            <w:tcBorders>
              <w:top w:val="single" w:sz="8" w:color="CFF0FC"/>
            </w:tcBorders>
          </w:tcPr>
          <w:p>
            <w:pPr>
              <w:spacing w:after="0"/>
              <w:rPr>
                <w:sz w:val="20"/>
                <w:szCs w:val="20"/>
                <w:color w:val="auto"/>
              </w:rPr>
            </w:pPr>
          </w:p>
        </w:tc>
      </w:tr>
      <w:tr>
        <w:trPr>
          <w:trHeight w:val="20"/>
        </w:trPr>
        <w:tc>
          <w:tcPr>
            <w:tcW w:w="7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-504825</wp:posOffset>
            </wp:positionV>
            <wp:extent cx="8572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-504825</wp:posOffset>
            </wp:positionV>
            <wp:extent cx="85725"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-187960</wp:posOffset>
            </wp:positionV>
            <wp:extent cx="8572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90"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Depreciation expense was $0.1 million and $0.2 million for the three months ended June 30, 2023 and 2022, respectively. Depreciation expense was $0.3 million for both the six months ended June 30, 2023 and 2022.</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Accrued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55"/>
              <w:spacing w:after="0"/>
              <w:rPr>
                <w:sz w:val="20"/>
                <w:szCs w:val="20"/>
                <w:color w:val="auto"/>
              </w:rPr>
            </w:pPr>
            <w:r>
              <w:rPr>
                <w:rFonts w:ascii="Arial" w:cs="Arial" w:eastAsia="Arial" w:hAnsi="Arial"/>
                <w:sz w:val="14"/>
                <w:szCs w:val="14"/>
                <w:b w:val="1"/>
                <w:bCs w:val="1"/>
                <w:color w:val="auto"/>
              </w:rPr>
              <w:t>As of June 30,</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jc w:val="right"/>
              <w:ind w:right="295"/>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5"/>
                <w:szCs w:val="15"/>
                <w:color w:val="auto"/>
              </w:rPr>
            </w:pPr>
          </w:p>
        </w:tc>
      </w:tr>
      <w:tr>
        <w:trPr>
          <w:trHeight w:val="185"/>
        </w:trPr>
        <w:tc>
          <w:tcPr>
            <w:tcW w:w="7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2,685</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5,307</w:t>
            </w:r>
          </w:p>
        </w:tc>
        <w:tc>
          <w:tcPr>
            <w:tcW w:w="140" w:type="dxa"/>
            <w:vAlign w:val="bottom"/>
            <w:shd w:val="clear" w:color="auto" w:fill="CFF0FC"/>
          </w:tcPr>
          <w:p>
            <w:pPr>
              <w:spacing w:after="0"/>
              <w:rPr>
                <w:sz w:val="20"/>
                <w:szCs w:val="20"/>
                <w:color w:val="auto"/>
              </w:rPr>
            </w:pP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color w:val="auto"/>
              </w:rPr>
              <w:t>Current portion of lease liabilities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20"/>
                <w:szCs w:val="20"/>
                <w:color w:val="auto"/>
              </w:rPr>
            </w:pPr>
          </w:p>
        </w:tc>
      </w:tr>
      <w:tr>
        <w:trPr>
          <w:trHeight w:val="249"/>
        </w:trPr>
        <w:tc>
          <w:tcPr>
            <w:tcW w:w="7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 term interest payable</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w:t>
            </w:r>
          </w:p>
        </w:tc>
        <w:tc>
          <w:tcPr>
            <w:tcW w:w="3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140" w:type="dxa"/>
            <w:vAlign w:val="bottom"/>
            <w:shd w:val="clear" w:color="auto" w:fill="CFF0FC"/>
          </w:tcPr>
          <w:p>
            <w:pPr>
              <w:spacing w:after="0"/>
              <w:rPr>
                <w:sz w:val="21"/>
                <w:szCs w:val="21"/>
                <w:color w:val="auto"/>
              </w:rPr>
            </w:pP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w:t>
            </w:r>
          </w:p>
        </w:tc>
        <w:tc>
          <w:tcPr>
            <w:tcW w:w="140" w:type="dxa"/>
            <w:vAlign w:val="bottom"/>
          </w:tcPr>
          <w:p>
            <w:pPr>
              <w:spacing w:after="0"/>
              <w:rPr>
                <w:sz w:val="20"/>
                <w:szCs w:val="20"/>
                <w:color w:val="auto"/>
              </w:rPr>
            </w:pPr>
          </w:p>
        </w:tc>
      </w:tr>
      <w:tr>
        <w:trPr>
          <w:trHeight w:val="277"/>
        </w:trPr>
        <w:tc>
          <w:tcPr>
            <w:tcW w:w="7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accrued and other current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5,386</w:t>
            </w:r>
          </w:p>
        </w:tc>
        <w:tc>
          <w:tcPr>
            <w:tcW w:w="3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7,775</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-24765</wp:posOffset>
            </wp:positionV>
            <wp:extent cx="857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-8255</wp:posOffset>
            </wp:positionV>
            <wp:extent cx="857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231F20"/>
        </w:rPr>
        <w:t>Other Noncurrent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noncurrent liabilities consist of the following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As of June 30,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ind w:right="276"/>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5"/>
                <w:szCs w:val="15"/>
                <w:color w:val="auto"/>
              </w:rPr>
            </w:pPr>
          </w:p>
        </w:tc>
      </w:tr>
      <w:tr>
        <w:trPr>
          <w:trHeight w:val="185"/>
        </w:trPr>
        <w:tc>
          <w:tcPr>
            <w:tcW w:w="7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7"/>
        </w:trPr>
        <w:tc>
          <w:tcPr>
            <w:tcW w:w="7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 term interest payable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1,194</w:t>
            </w:r>
          </w:p>
        </w:tc>
        <w:tc>
          <w:tcPr>
            <w:tcW w:w="140" w:type="dxa"/>
            <w:vAlign w:val="bottom"/>
            <w:shd w:val="clear" w:color="auto" w:fill="CFF0FC"/>
          </w:tcPr>
          <w:p>
            <w:pPr>
              <w:spacing w:after="0"/>
              <w:rPr>
                <w:sz w:val="20"/>
                <w:szCs w:val="20"/>
                <w:color w:val="auto"/>
              </w:rPr>
            </w:pPr>
          </w:p>
        </w:tc>
      </w:tr>
      <w:tr>
        <w:trPr>
          <w:trHeight w:val="237"/>
        </w:trPr>
        <w:tc>
          <w:tcPr>
            <w:tcW w:w="7360" w:type="dxa"/>
            <w:vAlign w:val="bottom"/>
          </w:tcPr>
          <w:p>
            <w:pPr>
              <w:ind w:left="20"/>
              <w:spacing w:after="0"/>
              <w:rPr>
                <w:sz w:val="20"/>
                <w:szCs w:val="20"/>
                <w:color w:val="auto"/>
              </w:rPr>
            </w:pPr>
            <w:r>
              <w:rPr>
                <w:rFonts w:ascii="Arial" w:cs="Arial" w:eastAsia="Arial" w:hAnsi="Arial"/>
                <w:sz w:val="18"/>
                <w:szCs w:val="18"/>
                <w:color w:val="auto"/>
              </w:rPr>
              <w:t>Noncurrent portion of lease liabilities</w:t>
            </w:r>
          </w:p>
        </w:tc>
        <w:tc>
          <w:tcPr>
            <w:tcW w:w="2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635</w:t>
            </w:r>
          </w:p>
        </w:tc>
        <w:tc>
          <w:tcPr>
            <w:tcW w:w="140" w:type="dxa"/>
            <w:vAlign w:val="bottom"/>
          </w:tcPr>
          <w:p>
            <w:pPr>
              <w:spacing w:after="0"/>
              <w:rPr>
                <w:sz w:val="20"/>
                <w:szCs w:val="20"/>
                <w:color w:val="auto"/>
              </w:rPr>
            </w:pPr>
          </w:p>
        </w:tc>
      </w:tr>
      <w:tr>
        <w:trPr>
          <w:trHeight w:val="243"/>
        </w:trPr>
        <w:tc>
          <w:tcPr>
            <w:tcW w:w="7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360" w:type="dxa"/>
            <w:vAlign w:val="bottom"/>
          </w:tcPr>
          <w:p>
            <w:pPr>
              <w:ind w:left="200"/>
              <w:spacing w:after="0"/>
              <w:rPr>
                <w:sz w:val="20"/>
                <w:szCs w:val="20"/>
                <w:color w:val="auto"/>
              </w:rPr>
            </w:pPr>
            <w:r>
              <w:rPr>
                <w:rFonts w:ascii="Arial" w:cs="Arial" w:eastAsia="Arial" w:hAnsi="Arial"/>
                <w:sz w:val="18"/>
                <w:szCs w:val="18"/>
                <w:color w:val="auto"/>
              </w:rPr>
              <w:t>Total other noncurrent liabilities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1,498</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1,867</w:t>
            </w:r>
          </w:p>
        </w:tc>
        <w:tc>
          <w:tcPr>
            <w:tcW w:w="140" w:type="dxa"/>
            <w:vAlign w:val="bottom"/>
          </w:tcPr>
          <w:p>
            <w:pPr>
              <w:spacing w:after="0"/>
              <w:rPr>
                <w:sz w:val="20"/>
                <w:szCs w:val="20"/>
                <w:color w:val="auto"/>
              </w:rPr>
            </w:pPr>
          </w:p>
        </w:tc>
      </w:tr>
      <w:tr>
        <w:trPr>
          <w:trHeight w:val="20"/>
        </w:trPr>
        <w:tc>
          <w:tcPr>
            <w:tcW w:w="7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-187960</wp:posOffset>
            </wp:positionV>
            <wp:extent cx="85725"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w:t>
      </w:r>
    </w:p>
    <w:p>
      <w:pPr>
        <w:spacing w:after="0" w:line="121" w:lineRule="exact"/>
        <w:rPr>
          <w:sz w:val="20"/>
          <w:szCs w:val="20"/>
          <w:color w:val="auto"/>
        </w:rPr>
      </w:pPr>
    </w:p>
    <w:p>
      <w:pPr>
        <w:ind w:right="80" w:firstLine="509"/>
        <w:spacing w:after="0" w:line="273" w:lineRule="auto"/>
        <w:rPr>
          <w:sz w:val="20"/>
          <w:szCs w:val="20"/>
          <w:color w:val="auto"/>
        </w:rPr>
      </w:pPr>
      <w:r>
        <w:rPr>
          <w:rFonts w:ascii="Arial" w:cs="Arial" w:eastAsia="Arial" w:hAnsi="Arial"/>
          <w:sz w:val="17"/>
          <w:szCs w:val="17"/>
          <w:color w:val="auto"/>
        </w:rPr>
        <w:t>As of June 30, 2023, the Company had two credit and security agreements with certain entities affiliated with MidCap Financial Services (such entities collectively, the "Lender"), which provided for a maximum $40.0 million credit facility, consisting of a $35.0 million senior secured term loan (the "Term Loan") and a $5.0 million revolving loan (the "Revolver" and collectively with the Term Loan, the "MidCap Credit Facility"). On July 20, 2023, the Company and the agent for the Lender entered into certain payoff and termination agreements pursuant to which, effective as of July 21, 2023, the Company paid off and discharged all of its obligations under the agreement evidencing the Revolver and the Revolver terminated in accordance with the provision of the payoff and termination agreements. The Term Loan remains in effect.</w:t>
      </w:r>
    </w:p>
    <w:p>
      <w:pPr>
        <w:spacing w:after="0" w:line="70" w:lineRule="exact"/>
        <w:rPr>
          <w:sz w:val="20"/>
          <w:szCs w:val="20"/>
          <w:color w:val="auto"/>
        </w:rPr>
      </w:pPr>
    </w:p>
    <w:p>
      <w:pPr>
        <w:ind w:right="160" w:firstLine="509"/>
        <w:spacing w:after="0" w:line="271" w:lineRule="auto"/>
        <w:rPr>
          <w:sz w:val="20"/>
          <w:szCs w:val="20"/>
          <w:color w:val="auto"/>
        </w:rPr>
      </w:pPr>
      <w:r>
        <w:rPr>
          <w:rFonts w:ascii="Arial" w:cs="Arial" w:eastAsia="Arial" w:hAnsi="Arial"/>
          <w:sz w:val="17"/>
          <w:szCs w:val="17"/>
          <w:color w:val="231F20"/>
        </w:rPr>
        <w:t>The obligations under the Term Loan agreement are guaranteed by the Company's current and future subsidiaries, subject to exceptions for certain foreign subsidiaries, and secured by substantially all assets of the Company, including material intellectual property. Additionally, the Company is subject to customary affirmative and negative covenants as defined in the Term Loan agreement, including covenants that limit or restrict the ability to, among other things, incur indebtedness, grant liens, merge or consolidate, make investments, dispose of assets, make acquisitions, pay dividends or make distributions, repurchase stock and enter into certain transactions with affiliates, in each case subject to certain exceptions. As of June 30, 2023, the Company was in compliance with all financial and non-financial covenants under the MidCap Credit Facility. The Term Loan agreement includes a maturity date of November 1, 2025, and principal payments under the Term Loan are expected to commence in December 2023. However, if certain conditions are met, principal payments may instead commence in December 2024.</w:t>
      </w:r>
    </w:p>
    <w:p>
      <w:pPr>
        <w:spacing w:after="0" w:line="70" w:lineRule="exact"/>
        <w:rPr>
          <w:sz w:val="20"/>
          <w:szCs w:val="20"/>
          <w:color w:val="auto"/>
        </w:rPr>
      </w:pPr>
    </w:p>
    <w:p>
      <w:pPr>
        <w:ind w:right="100" w:firstLine="509"/>
        <w:spacing w:after="0" w:line="257" w:lineRule="auto"/>
        <w:rPr>
          <w:sz w:val="20"/>
          <w:szCs w:val="20"/>
          <w:color w:val="auto"/>
        </w:rPr>
      </w:pPr>
      <w:r>
        <w:rPr>
          <w:rFonts w:ascii="Arial" w:cs="Arial" w:eastAsia="Arial" w:hAnsi="Arial"/>
          <w:sz w:val="18"/>
          <w:szCs w:val="18"/>
          <w:color w:val="231F20"/>
        </w:rPr>
        <w:t>The Term Loan agreement contains events of default that include, among others, non-payment of principal, interest or fees, breach of covenants, inaccuracy of representations and warranties, cross-defaults and bankruptcy and insolvency events. In addition, the Term Loan agreement includes a stated floating interest rate that is reserve-adjusted SOFR, plus 7.00%, and a provision for a final payment fee of 6.0% of the $35.0 million Term Loan balance, which has been partially accrued and recorded as a long-term interest payable in other noncurrent liabilities of $1.4 million as of June 30, 2023 and $1.2 million as of December 31, 2022.</w:t>
      </w:r>
    </w:p>
    <w:p>
      <w:pPr>
        <w:spacing w:after="0" w:line="80" w:lineRule="exact"/>
        <w:rPr>
          <w:sz w:val="20"/>
          <w:szCs w:val="20"/>
          <w:color w:val="auto"/>
        </w:rPr>
      </w:pPr>
    </w:p>
    <w:p>
      <w:pPr>
        <w:ind w:right="240" w:firstLine="509"/>
        <w:spacing w:after="0" w:line="308" w:lineRule="auto"/>
        <w:rPr>
          <w:sz w:val="20"/>
          <w:szCs w:val="20"/>
          <w:color w:val="auto"/>
        </w:rPr>
      </w:pPr>
      <w:r>
        <w:rPr>
          <w:rFonts w:ascii="Arial" w:cs="Arial" w:eastAsia="Arial" w:hAnsi="Arial"/>
          <w:sz w:val="17"/>
          <w:szCs w:val="17"/>
          <w:color w:val="auto"/>
        </w:rPr>
        <w:t>As of June 30, 2023 and December 31, 2022, $5.0 million was available to be drawn under the Revolver, respectively. The Revolver had not been drawn upon as of June 30, 2023 and December 31, 2022. Long-term and short-term debt was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gridSpan w:val="2"/>
          </w:tcPr>
          <w:p>
            <w:pPr>
              <w:jc w:val="right"/>
              <w:ind w:right="621"/>
              <w:spacing w:after="0"/>
              <w:rPr>
                <w:sz w:val="20"/>
                <w:szCs w:val="20"/>
                <w:color w:val="auto"/>
              </w:rPr>
            </w:pPr>
            <w:r>
              <w:rPr>
                <w:rFonts w:ascii="Arial" w:cs="Arial" w:eastAsia="Arial" w:hAnsi="Arial"/>
                <w:sz w:val="14"/>
                <w:szCs w:val="14"/>
                <w:b w:val="1"/>
                <w:bCs w:val="1"/>
                <w:color w:val="auto"/>
              </w:rPr>
              <w:t>As of June 30,</w:t>
            </w:r>
          </w:p>
        </w:tc>
        <w:tc>
          <w:tcPr>
            <w:tcW w:w="220" w:type="dxa"/>
            <w:vAlign w:val="bottom"/>
          </w:tcPr>
          <w:p>
            <w:pPr>
              <w:spacing w:after="0"/>
              <w:rPr>
                <w:sz w:val="15"/>
                <w:szCs w:val="15"/>
                <w:color w:val="auto"/>
              </w:rPr>
            </w:pPr>
          </w:p>
        </w:tc>
        <w:tc>
          <w:tcPr>
            <w:tcW w:w="176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8"/>
              </w:rPr>
              <w:t>As of December 31,</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Term Loan</w:t>
            </w:r>
          </w:p>
        </w:tc>
        <w:tc>
          <w:tcPr>
            <w:tcW w:w="2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Arial" w:cs="Arial" w:eastAsia="Arial" w:hAnsi="Arial"/>
                <w:sz w:val="18"/>
                <w:szCs w:val="18"/>
                <w:color w:val="auto"/>
              </w:rPr>
              <w:t>Total principal payments due</w:t>
            </w:r>
          </w:p>
        </w:tc>
        <w:tc>
          <w:tcPr>
            <w:tcW w:w="2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Less: debt discount related to warrant liability and issuance costs</w:t>
            </w:r>
          </w:p>
        </w:tc>
        <w:tc>
          <w:tcPr>
            <w:tcW w:w="2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320" w:type="dxa"/>
            <w:vAlign w:val="bottom"/>
            <w:shd w:val="clear" w:color="auto" w:fill="CFF0FC"/>
          </w:tcPr>
          <w:p>
            <w:pPr>
              <w:jc w:val="right"/>
              <w:ind w:right="1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(1,687</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Total amounts outstanding</w:t>
            </w:r>
          </w:p>
        </w:tc>
        <w:tc>
          <w:tcPr>
            <w:tcW w:w="2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33,607</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current portion</w:t>
            </w:r>
          </w:p>
        </w:tc>
        <w:tc>
          <w:tcPr>
            <w:tcW w:w="2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20" w:type="dxa"/>
            <w:vAlign w:val="bottom"/>
          </w:tcPr>
          <w:p>
            <w:pPr>
              <w:ind w:left="20"/>
              <w:spacing w:after="0"/>
              <w:rPr>
                <w:sz w:val="20"/>
                <w:szCs w:val="20"/>
                <w:color w:val="auto"/>
              </w:rPr>
            </w:pPr>
            <w:r>
              <w:rPr>
                <w:rFonts w:ascii="Arial" w:cs="Arial" w:eastAsia="Arial" w:hAnsi="Arial"/>
                <w:sz w:val="18"/>
                <w:szCs w:val="18"/>
                <w:color w:val="auto"/>
              </w:rPr>
              <w:t>Total accrued and other current liabilities</w:t>
            </w:r>
          </w:p>
        </w:tc>
        <w:tc>
          <w:tcPr>
            <w:tcW w:w="24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33,607</w:t>
            </w:r>
          </w:p>
        </w:tc>
        <w:tc>
          <w:tcPr>
            <w:tcW w:w="3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33,313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0" w:type="dxa"/>
            <w:vAlign w:val="bottom"/>
            <w:vMerge w:val="restart"/>
          </w:tcPr>
          <w:p>
            <w:pPr>
              <w:jc w:val="right"/>
              <w:ind w:right="151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120" w:type="dxa"/>
            <w:vAlign w:val="bottom"/>
          </w:tcPr>
          <w:p>
            <w:pPr>
              <w:spacing w:after="0"/>
              <w:rPr>
                <w:sz w:val="24"/>
                <w:szCs w:val="24"/>
                <w:color w:val="auto"/>
              </w:rPr>
            </w:pPr>
          </w:p>
        </w:tc>
        <w:tc>
          <w:tcPr>
            <w:tcW w:w="22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20" w:type="dxa"/>
            <w:vAlign w:val="bottom"/>
            <w:tcBorders>
              <w:bottom w:val="single" w:sz="8" w:color="9A9A9A"/>
            </w:tcBorders>
          </w:tcPr>
          <w:p>
            <w:pPr>
              <w:spacing w:after="0"/>
              <w:rPr>
                <w:sz w:val="10"/>
                <w:szCs w:val="10"/>
                <w:color w:val="auto"/>
              </w:rPr>
            </w:pPr>
          </w:p>
        </w:tc>
        <w:tc>
          <w:tcPr>
            <w:tcW w:w="2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-1328420</wp:posOffset>
            </wp:positionV>
            <wp:extent cx="85725"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-1328420</wp:posOffset>
            </wp:positionV>
            <wp:extent cx="8572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-685165</wp:posOffset>
            </wp:positionV>
            <wp:extent cx="85725" cy="1885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-685165</wp:posOffset>
            </wp:positionV>
            <wp:extent cx="85725" cy="1885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ind w:left="520"/>
        <w:spacing w:after="0"/>
        <w:rPr>
          <w:sz w:val="20"/>
          <w:szCs w:val="20"/>
          <w:color w:val="auto"/>
        </w:rPr>
      </w:pPr>
      <w:r>
        <w:rPr>
          <w:rFonts w:ascii="Arial" w:cs="Arial" w:eastAsia="Arial" w:hAnsi="Arial"/>
          <w:sz w:val="18"/>
          <w:szCs w:val="18"/>
          <w:color w:val="auto"/>
        </w:rPr>
        <w:t>The repayment schedule relating to the Term Loan as of June 30, 2023, is as follows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1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r>
      <w:tr>
        <w:trPr>
          <w:trHeight w:val="237"/>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(remainder)</w:t>
            </w:r>
          </w:p>
        </w:tc>
        <w:tc>
          <w:tcPr>
            <w:tcW w:w="420" w:type="dxa"/>
            <w:vAlign w:val="bottom"/>
            <w:shd w:val="clear" w:color="auto" w:fill="CFF0FC"/>
          </w:tcPr>
          <w:p>
            <w:pPr>
              <w:spacing w:after="0"/>
              <w:rPr>
                <w:sz w:val="20"/>
                <w:szCs w:val="20"/>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2024</w:t>
            </w:r>
          </w:p>
        </w:tc>
        <w:tc>
          <w:tcPr>
            <w:tcW w:w="4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2,917</w:t>
            </w:r>
          </w:p>
        </w:tc>
        <w:tc>
          <w:tcPr>
            <w:tcW w:w="140" w:type="dxa"/>
            <w:vAlign w:val="bottom"/>
          </w:tcPr>
          <w:p>
            <w:pPr>
              <w:spacing w:after="0"/>
              <w:rPr>
                <w:sz w:val="20"/>
                <w:szCs w:val="20"/>
                <w:color w:val="auto"/>
              </w:rPr>
            </w:pPr>
          </w:p>
        </w:tc>
      </w:tr>
      <w:tr>
        <w:trPr>
          <w:trHeight w:val="249"/>
        </w:trPr>
        <w:tc>
          <w:tcPr>
            <w:tcW w:w="9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42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32,083</w:t>
            </w:r>
          </w:p>
        </w:tc>
        <w:tc>
          <w:tcPr>
            <w:tcW w:w="140" w:type="dxa"/>
            <w:vAlign w:val="bottom"/>
            <w:shd w:val="clear" w:color="auto" w:fill="CFF0FC"/>
          </w:tcPr>
          <w:p>
            <w:pPr>
              <w:spacing w:after="0"/>
              <w:rPr>
                <w:sz w:val="21"/>
                <w:szCs w:val="21"/>
                <w:color w:val="auto"/>
              </w:rPr>
            </w:pPr>
          </w:p>
        </w:tc>
      </w:tr>
      <w:tr>
        <w:trPr>
          <w:trHeight w:val="237"/>
        </w:trPr>
        <w:tc>
          <w:tcPr>
            <w:tcW w:w="91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r>
      <w:tr>
        <w:trPr>
          <w:trHeight w:val="276"/>
        </w:trPr>
        <w:tc>
          <w:tcPr>
            <w:tcW w:w="9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repayments</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Obligations</w:t>
      </w:r>
    </w:p>
    <w:p>
      <w:pPr>
        <w:spacing w:after="0" w:line="117"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The Company’s leases include facility leases and storage leases. In determining the present value of lease payments, the Company uses its incremental borrowing rate based on the information available at the lease commencement date if the rate implicit in the lease is not readily determinable. The Company estimates its incremental borrowing rate based on qualitative factors including company specific credit offers, lease term, general economics, and the interest rate environment. In determining the lease term, the Company includes all renewal options that are reasonably probable to be executed.</w:t>
      </w:r>
    </w:p>
    <w:p>
      <w:pPr>
        <w:spacing w:after="0" w:line="49"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During the first quarter of 2021, the Company renewed its lease on its corporate headquarters in Menlo Park, California. The lease commenced in August 2021 and has a term of 37 months from the commencement date. The Company recorded an aggregate right-of-use ("ROU") asset and lease liability of $1.5 million. The ROU asset and corresponding lease liability were estimated using a weighted-average incremental borrowing rate of 13.59%. Total base rent is approximately $1.6 million under the lease agreement.</w:t>
      </w:r>
    </w:p>
    <w:p>
      <w:pPr>
        <w:spacing w:after="0" w:line="79"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During the fourth quarter of 2022, the Company entered into a supply agreement with an expected term of 18 months. The supply agreement contains provisions that indicate an embedded lease is present within the agreement. The agreement commenced in early December 2022 and the Company recorded an aggregate ROU asset and lease liability of $0.7 million. The ROU asset and corresponding lease liability were estimated using a weighted-average incremental borrowing rate of 10.75%. Total base rent under the agreement is approximately $0.7 million.</w:t>
      </w:r>
    </w:p>
    <w:p>
      <w:pPr>
        <w:spacing w:after="0" w:line="171" w:lineRule="exact"/>
        <w:rPr>
          <w:sz w:val="20"/>
          <w:szCs w:val="20"/>
          <w:color w:val="auto"/>
        </w:rPr>
      </w:pPr>
    </w:p>
    <w:p>
      <w:pPr>
        <w:ind w:right="40" w:firstLine="509"/>
        <w:spacing w:after="0" w:line="311" w:lineRule="auto"/>
        <w:rPr>
          <w:sz w:val="20"/>
          <w:szCs w:val="20"/>
          <w:color w:val="auto"/>
        </w:rPr>
      </w:pPr>
      <w:r>
        <w:rPr>
          <w:rFonts w:ascii="Arial" w:cs="Arial" w:eastAsia="Arial" w:hAnsi="Arial"/>
          <w:sz w:val="16"/>
          <w:szCs w:val="16"/>
          <w:color w:val="auto"/>
        </w:rPr>
        <w:t>The Company recognizes rent expense on a straight-line basis over the noncancelable lease term. The Company’s rent expense was $0.6 million and $0.3 million for the six months ended June 30, 2023 and 2022, respectively. The Company’s rent expense was $0.3 million and $0.2 million for the three months ended June 30, 2023 and 2022, respectively. As of June 30, 2023, the weighted average remaining lease term for the leases was 1.1 years.</w:t>
      </w:r>
    </w:p>
    <w:p>
      <w:pPr>
        <w:spacing w:after="0" w:line="149" w:lineRule="exact"/>
        <w:rPr>
          <w:sz w:val="20"/>
          <w:szCs w:val="20"/>
          <w:color w:val="auto"/>
        </w:rPr>
      </w:pPr>
    </w:p>
    <w:p>
      <w:pPr>
        <w:ind w:right="380" w:firstLine="509"/>
        <w:spacing w:after="0" w:line="277" w:lineRule="auto"/>
        <w:rPr>
          <w:sz w:val="20"/>
          <w:szCs w:val="20"/>
          <w:color w:val="auto"/>
        </w:rPr>
      </w:pPr>
      <w:r>
        <w:rPr>
          <w:rFonts w:ascii="Arial" w:cs="Arial" w:eastAsia="Arial" w:hAnsi="Arial"/>
          <w:sz w:val="18"/>
          <w:szCs w:val="18"/>
          <w:color w:val="auto"/>
        </w:rPr>
        <w:t>Operating lease expense and supplemental cash flow information related to operating leases for the three months ended June 30, 2023 and 2022 were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40" w:type="dxa"/>
            <w:vAlign w:val="bottom"/>
            <w:gridSpan w:val="4"/>
          </w:tcPr>
          <w:p>
            <w:pPr>
              <w:jc w:val="center"/>
              <w:ind w:left="222"/>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3"/>
          </w:tcPr>
          <w:p>
            <w:pPr>
              <w:jc w:val="center"/>
              <w:ind w:left="321"/>
              <w:spacing w:after="0"/>
              <w:rPr>
                <w:sz w:val="20"/>
                <w:szCs w:val="20"/>
                <w:color w:val="auto"/>
              </w:rPr>
            </w:pPr>
            <w:r>
              <w:rPr>
                <w:rFonts w:ascii="Arial" w:cs="Arial" w:eastAsia="Arial" w:hAnsi="Arial"/>
                <w:sz w:val="14"/>
                <w:szCs w:val="14"/>
                <w:b w:val="1"/>
                <w:bCs w:val="1"/>
                <w:color w:val="auto"/>
                <w:w w:val="92"/>
              </w:rPr>
              <w:t>Six Months Ended</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38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347"/>
              <w:spacing w:after="0"/>
              <w:rPr>
                <w:sz w:val="20"/>
                <w:szCs w:val="20"/>
                <w:color w:val="auto"/>
              </w:rPr>
            </w:pPr>
            <w:r>
              <w:rPr>
                <w:rFonts w:ascii="Arial" w:cs="Arial" w:eastAsia="Arial" w:hAnsi="Arial"/>
                <w:sz w:val="14"/>
                <w:szCs w:val="14"/>
                <w:b w:val="1"/>
                <w:bCs w:val="1"/>
                <w:color w:val="auto"/>
                <w:w w:val="92"/>
              </w:rPr>
              <w:t>June 30,</w:t>
            </w:r>
          </w:p>
        </w:tc>
        <w:tc>
          <w:tcPr>
            <w:tcW w:w="3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361"/>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38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341"/>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jc w:val="right"/>
              <w:ind w:right="336"/>
              <w:spacing w:after="0"/>
              <w:rPr>
                <w:sz w:val="20"/>
                <w:szCs w:val="20"/>
                <w:color w:val="auto"/>
              </w:rPr>
            </w:pPr>
            <w:r>
              <w:rPr>
                <w:rFonts w:ascii="Arial" w:cs="Arial" w:eastAsia="Arial" w:hAnsi="Arial"/>
                <w:sz w:val="14"/>
                <w:szCs w:val="14"/>
                <w:b w:val="1"/>
                <w:bCs w:val="1"/>
                <w:color w:val="auto"/>
                <w:w w:val="83"/>
              </w:rPr>
              <w:t>2022</w:t>
            </w:r>
          </w:p>
        </w:tc>
        <w:tc>
          <w:tcPr>
            <w:tcW w:w="140" w:type="dxa"/>
            <w:vAlign w:val="bottom"/>
          </w:tcPr>
          <w:p>
            <w:pPr>
              <w:spacing w:after="0"/>
              <w:rPr>
                <w:sz w:val="14"/>
                <w:szCs w:val="14"/>
                <w:color w:val="auto"/>
              </w:rPr>
            </w:pPr>
          </w:p>
        </w:tc>
      </w:tr>
      <w:tr>
        <w:trPr>
          <w:trHeight w:val="237"/>
        </w:trPr>
        <w:tc>
          <w:tcPr>
            <w:tcW w:w="3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1960" w:type="dxa"/>
            <w:vAlign w:val="bottom"/>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jc w:val="right"/>
              <w:ind w:right="58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300" w:type="dxa"/>
            <w:vAlign w:val="bottom"/>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ind w:right="56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28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140" w:type="dxa"/>
            <w:vAlign w:val="bottom"/>
            <w:shd w:val="clear" w:color="auto" w:fill="CFF0FC"/>
          </w:tcPr>
          <w:p>
            <w:pPr>
              <w:spacing w:after="0"/>
              <w:rPr>
                <w:sz w:val="20"/>
                <w:szCs w:val="20"/>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Cash paid for operating leases</w:t>
            </w:r>
          </w:p>
        </w:tc>
        <w:tc>
          <w:tcPr>
            <w:tcW w:w="1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293</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0"/>
                <w:szCs w:val="20"/>
                <w:color w:val="auto"/>
              </w:rPr>
            </w:pPr>
          </w:p>
        </w:tc>
      </w:tr>
      <w:tr>
        <w:trPr>
          <w:trHeight w:val="877"/>
        </w:trPr>
        <w:tc>
          <w:tcPr>
            <w:tcW w:w="3860" w:type="dxa"/>
            <w:vAlign w:val="bottom"/>
          </w:tcPr>
          <w:p>
            <w:pPr>
              <w:spacing w:after="0"/>
              <w:rPr>
                <w:sz w:val="24"/>
                <w:szCs w:val="24"/>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88"/>
        </w:trPr>
        <w:tc>
          <w:tcPr>
            <w:tcW w:w="386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left="520"/>
        <w:spacing w:after="0"/>
        <w:rPr>
          <w:sz w:val="20"/>
          <w:szCs w:val="20"/>
          <w:color w:val="auto"/>
        </w:rPr>
      </w:pPr>
      <w:r>
        <w:rPr>
          <w:rFonts w:ascii="Arial" w:cs="Arial" w:eastAsia="Arial" w:hAnsi="Arial"/>
          <w:sz w:val="17"/>
          <w:szCs w:val="17"/>
          <w:color w:val="auto"/>
        </w:rPr>
        <w:t>Aggregate future minimum lease payments at June 30, 2023, under these noncancelable operating leases were as follows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As of June 30,</w:t>
            </w:r>
          </w:p>
        </w:tc>
      </w:tr>
      <w:tr>
        <w:trPr>
          <w:trHeight w:val="185"/>
        </w:trPr>
        <w:tc>
          <w:tcPr>
            <w:tcW w:w="8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r>
      <w:tr>
        <w:trPr>
          <w:trHeight w:val="237"/>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 (remainder)</w:t>
            </w:r>
          </w:p>
        </w:tc>
        <w:tc>
          <w:tcPr>
            <w:tcW w:w="320" w:type="dxa"/>
            <w:vAlign w:val="bottom"/>
            <w:shd w:val="clear" w:color="auto" w:fill="CFF0FC"/>
          </w:tcPr>
          <w:p>
            <w:pPr>
              <w:spacing w:after="0"/>
              <w:rPr>
                <w:sz w:val="20"/>
                <w:szCs w:val="20"/>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320" w:type="dxa"/>
            <w:vAlign w:val="bottom"/>
            <w:shd w:val="clear" w:color="auto" w:fill="CFF0FC"/>
          </w:tcPr>
          <w:p>
            <w:pPr>
              <w:spacing w:after="0"/>
              <w:rPr>
                <w:sz w:val="20"/>
                <w:szCs w:val="20"/>
                <w:color w:val="auto"/>
              </w:rPr>
            </w:pP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320" w:type="dxa"/>
            <w:vAlign w:val="bottom"/>
          </w:tcPr>
          <w:p>
            <w:pPr>
              <w:spacing w:after="0"/>
              <w:rPr>
                <w:sz w:val="20"/>
                <w:szCs w:val="20"/>
                <w:color w:val="auto"/>
              </w:rPr>
            </w:pPr>
          </w:p>
        </w:tc>
      </w:tr>
      <w:tr>
        <w:trPr>
          <w:trHeight w:val="243"/>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future minimum lease payments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320" w:type="dxa"/>
            <w:vAlign w:val="bottom"/>
            <w:shd w:val="clear" w:color="auto" w:fill="CFF0FC"/>
          </w:tcPr>
          <w:p>
            <w:pPr>
              <w:spacing w:after="0"/>
              <w:rPr>
                <w:sz w:val="21"/>
                <w:szCs w:val="21"/>
                <w:color w:val="auto"/>
              </w:rPr>
            </w:pP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Pr>
          <w:p>
            <w:pPr>
              <w:spacing w:after="0"/>
              <w:rPr>
                <w:sz w:val="20"/>
                <w:szCs w:val="20"/>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(102 )</w:t>
            </w:r>
          </w:p>
        </w:tc>
      </w:tr>
      <w:tr>
        <w:trPr>
          <w:trHeight w:val="243"/>
        </w:trPr>
        <w:tc>
          <w:tcPr>
            <w:tcW w:w="89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Present value of future minimum lease payments</w:t>
            </w: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1,171</w:t>
            </w:r>
          </w:p>
        </w:tc>
        <w:tc>
          <w:tcPr>
            <w:tcW w:w="320" w:type="dxa"/>
            <w:vAlign w:val="bottom"/>
            <w:shd w:val="clear" w:color="auto" w:fill="CFF0FC"/>
          </w:tcPr>
          <w:p>
            <w:pPr>
              <w:spacing w:after="0"/>
              <w:rPr>
                <w:sz w:val="21"/>
                <w:szCs w:val="21"/>
                <w:color w:val="auto"/>
              </w:rPr>
            </w:pPr>
          </w:p>
        </w:tc>
      </w:tr>
      <w:tr>
        <w:trPr>
          <w:trHeight w:val="237"/>
        </w:trPr>
        <w:tc>
          <w:tcPr>
            <w:tcW w:w="8980" w:type="dxa"/>
            <w:vAlign w:val="bottom"/>
          </w:tcPr>
          <w:p>
            <w:pPr>
              <w:ind w:left="20"/>
              <w:spacing w:after="0"/>
              <w:rPr>
                <w:sz w:val="20"/>
                <w:szCs w:val="20"/>
                <w:color w:val="auto"/>
              </w:rPr>
            </w:pPr>
            <w:r>
              <w:rPr>
                <w:rFonts w:ascii="Arial" w:cs="Arial" w:eastAsia="Arial" w:hAnsi="Arial"/>
                <w:sz w:val="18"/>
                <w:szCs w:val="18"/>
                <w:color w:val="auto"/>
              </w:rPr>
              <w:t>Less: current portion of operating lease liability</w:t>
            </w:r>
          </w:p>
        </w:tc>
        <w:tc>
          <w:tcPr>
            <w:tcW w:w="320" w:type="dxa"/>
            <w:vAlign w:val="bottom"/>
          </w:tcPr>
          <w:p>
            <w:pPr>
              <w:spacing w:after="0"/>
              <w:rPr>
                <w:sz w:val="20"/>
                <w:szCs w:val="20"/>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8"/>
                <w:szCs w:val="18"/>
                <w:color w:val="auto"/>
              </w:rPr>
              <w:t>(1,064 )</w:t>
            </w:r>
          </w:p>
        </w:tc>
      </w:tr>
      <w:tr>
        <w:trPr>
          <w:trHeight w:val="276"/>
        </w:trPr>
        <w:tc>
          <w:tcPr>
            <w:tcW w:w="8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 – noncurrent</w:t>
            </w: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6939915</wp:posOffset>
            </wp:positionH>
            <wp:positionV relativeFrom="paragraph">
              <wp:posOffset>-25400</wp:posOffset>
            </wp:positionV>
            <wp:extent cx="85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6939915</wp:posOffset>
            </wp:positionH>
            <wp:positionV relativeFrom="paragraph">
              <wp:posOffset>-7620</wp:posOffset>
            </wp:positionV>
            <wp:extent cx="8572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Proceedings</w:t>
      </w:r>
    </w:p>
    <w:p>
      <w:pPr>
        <w:spacing w:after="0" w:line="117" w:lineRule="exact"/>
        <w:rPr>
          <w:sz w:val="20"/>
          <w:szCs w:val="20"/>
          <w:color w:val="auto"/>
        </w:rPr>
      </w:pPr>
    </w:p>
    <w:p>
      <w:pPr>
        <w:ind w:right="20" w:firstLine="509"/>
        <w:spacing w:after="0" w:line="269" w:lineRule="auto"/>
        <w:rPr>
          <w:sz w:val="20"/>
          <w:szCs w:val="20"/>
          <w:color w:val="auto"/>
        </w:rPr>
      </w:pPr>
      <w:r>
        <w:rPr>
          <w:rFonts w:ascii="Arial" w:cs="Arial" w:eastAsia="Arial" w:hAnsi="Arial"/>
          <w:sz w:val="17"/>
          <w:szCs w:val="17"/>
          <w:color w:val="auto"/>
        </w:rPr>
        <w:t xml:space="preserve">On September 16, 2021, the Company filed suit in the U.S. District Court for the District of Delaware (C.A. No. 1:21-cv-01317) alleging that Ivantis, Inc. ("Ivantis") directly and indirectly infringes the Company's U.S. Patent Nos. 8,287,482, 9,370,443, 9,486,361, and 10,314,742 by making, using, selling, and offering for sale the Hydrus® Microstent. The Company’s complaint seeks money damages and injunctive relief. On January 24, 2022, Ivantis asserted counterclaims requesting declaratory judgments that the Company's asserted patents-in-suit are not infringed and/or are invalid. On August 1, 2022, the Company filed an amended complaint alleging that Alcon Inc., Alcon Vision, LLC and Alcon Research, LLC (collectively, "Alcon") infringe the four originally asserted patents by making, using, selling, and offering for sale the Hydrus® Microstent, and that all defendants also infringe U.S. Patent No. 11,389,328. The defendants asserted counterclaims requesting declaratory judgments that the Company’s asserted patents-in-suit are not infringed and/or are invalid. A five-day jury trial is scheduled to commence on April 8, 2024. Ivantis and Alcon filed petitions with the U.S. Patent Office seeking </w:t>
      </w:r>
      <w:r>
        <w:rPr>
          <w:rFonts w:ascii="Arial" w:cs="Arial" w:eastAsia="Arial" w:hAnsi="Arial"/>
          <w:sz w:val="17"/>
          <w:szCs w:val="17"/>
          <w:i w:val="1"/>
          <w:iCs w:val="1"/>
          <w:color w:val="auto"/>
        </w:rPr>
        <w:t xml:space="preserve">inter partes </w:t>
      </w:r>
      <w:r>
        <w:rPr>
          <w:rFonts w:ascii="Arial" w:cs="Arial" w:eastAsia="Arial" w:hAnsi="Arial"/>
          <w:sz w:val="17"/>
          <w:szCs w:val="17"/>
          <w:color w:val="auto"/>
        </w:rPr>
        <w:t>review of U.S. Patent Nos. 8,287,482, 9,370,443, 9,486,361, and 10,314,742 (IPR2022-01529, IPR2022-01530, IPR2022-01533, IPR2022-01540), each of which the U.S. Patent Office denied for raising prior art reference and invalidity arguments that were cumulative of those previously considered by the office. The Company is presently unable to predict the outcome of this lawsuit or to reasonably estimate the potential financial impact of the lawsuit on the Company, if any.</w:t>
      </w:r>
    </w:p>
    <w:p>
      <w:pPr>
        <w:spacing w:after="0" w:line="71" w:lineRule="exact"/>
        <w:rPr>
          <w:sz w:val="20"/>
          <w:szCs w:val="20"/>
          <w:color w:val="auto"/>
        </w:rPr>
      </w:pPr>
    </w:p>
    <w:p>
      <w:pPr>
        <w:ind w:right="80" w:firstLine="509"/>
        <w:spacing w:after="0" w:line="269" w:lineRule="auto"/>
        <w:rPr>
          <w:sz w:val="20"/>
          <w:szCs w:val="20"/>
          <w:color w:val="auto"/>
        </w:rPr>
      </w:pPr>
      <w:r>
        <w:rPr>
          <w:rFonts w:ascii="Arial" w:cs="Arial" w:eastAsia="Arial" w:hAnsi="Arial"/>
          <w:sz w:val="17"/>
          <w:szCs w:val="17"/>
          <w:color w:val="auto"/>
        </w:rPr>
        <w:t>The Company is subject to legal, regulatory, and other claims and assessments from time to time in the ordinary course of business. Accruals for litigation and contingencies are reflected in the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As of June 30, 2023 the Company does not believe it was a party to any legal proceedings, regulatory matters, or other disputes or claims which, if determined adversely, would, individually or taken together, have a material adverse effect on its business, financial condition, operating results, liquidity or future prospects. However, regardless of the merits of the claims raised or the outcome, legal proceedings and claims may have an adverse impact on the Company as a result of defense and settlement costs, diversion of management time and resources, and other factors.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Indemnification</w:t>
      </w:r>
    </w:p>
    <w:p>
      <w:pPr>
        <w:spacing w:after="0" w:line="117" w:lineRule="exact"/>
        <w:rPr>
          <w:sz w:val="20"/>
          <w:szCs w:val="20"/>
          <w:color w:val="auto"/>
        </w:rPr>
      </w:pPr>
    </w:p>
    <w:p>
      <w:pPr>
        <w:ind w:right="100" w:firstLine="509"/>
        <w:spacing w:after="0" w:line="30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60" w:firstLine="509"/>
        <w:spacing w:after="0" w:line="272" w:lineRule="auto"/>
        <w:rPr>
          <w:sz w:val="20"/>
          <w:szCs w:val="20"/>
          <w:color w:val="auto"/>
        </w:rPr>
      </w:pPr>
      <w:r>
        <w:rPr>
          <w:rFonts w:ascii="Arial" w:cs="Arial" w:eastAsia="Arial" w:hAnsi="Arial"/>
          <w:sz w:val="17"/>
          <w:szCs w:val="17"/>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an indemnitee may be subject to any proceeding arising out of acts or omissions of such indemnitee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the Company has not recognized any liabilities relating to these obligations as of June 30, 2023 or December 31, 2022.</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In connection with the initial public offering of the Company's common stock (the "IPO"), the Company’s certificate of incorporation was amended and restated to provide for 200,000,000 authorized shares of common stock with a par value of $0.001 per share and 10,000,000 authorized shares of preferred stock with a par value of $0.001 per share. The holders of common stock are entitled to receive dividends whenever funds are legally available, when and if declared by the board of directors. As of June 30, 2023, no dividends have been declared to date. Each share of common stock is entitled to one vote.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 June 30, 2023 and December 31, 2022, the Company had reserved common stock for future issuances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60" w:type="dxa"/>
            <w:vAlign w:val="bottom"/>
          </w:tcPr>
          <w:p>
            <w:pPr>
              <w:spacing w:after="0"/>
              <w:rPr>
                <w:sz w:val="15"/>
                <w:szCs w:val="15"/>
                <w:color w:val="auto"/>
              </w:rPr>
            </w:pPr>
          </w:p>
        </w:tc>
        <w:tc>
          <w:tcPr>
            <w:tcW w:w="1620" w:type="dxa"/>
            <w:vAlign w:val="bottom"/>
          </w:tcPr>
          <w:p>
            <w:pPr>
              <w:jc w:val="right"/>
              <w:ind w:right="475"/>
              <w:spacing w:after="0"/>
              <w:rPr>
                <w:sz w:val="20"/>
                <w:szCs w:val="20"/>
                <w:color w:val="auto"/>
              </w:rPr>
            </w:pPr>
            <w:r>
              <w:rPr>
                <w:rFonts w:ascii="Arial" w:cs="Arial" w:eastAsia="Arial" w:hAnsi="Arial"/>
                <w:sz w:val="14"/>
                <w:szCs w:val="14"/>
                <w:b w:val="1"/>
                <w:bCs w:val="1"/>
                <w:color w:val="auto"/>
              </w:rPr>
              <w:t>June 30,</w:t>
            </w:r>
          </w:p>
        </w:tc>
        <w:tc>
          <w:tcPr>
            <w:tcW w:w="300" w:type="dxa"/>
            <w:vAlign w:val="bottom"/>
          </w:tcPr>
          <w:p>
            <w:pPr>
              <w:spacing w:after="0"/>
              <w:rPr>
                <w:sz w:val="15"/>
                <w:szCs w:val="15"/>
                <w:color w:val="auto"/>
              </w:rPr>
            </w:pPr>
          </w:p>
        </w:tc>
        <w:tc>
          <w:tcPr>
            <w:tcW w:w="162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r>
      <w:tr>
        <w:trPr>
          <w:trHeight w:val="185"/>
        </w:trPr>
        <w:tc>
          <w:tcPr>
            <w:tcW w:w="7560" w:type="dxa"/>
            <w:vAlign w:val="bottom"/>
          </w:tcPr>
          <w:p>
            <w:pPr>
              <w:spacing w:after="0"/>
              <w:rPr>
                <w:sz w:val="16"/>
                <w:szCs w:val="16"/>
                <w:color w:val="auto"/>
              </w:rPr>
            </w:pPr>
          </w:p>
        </w:tc>
        <w:tc>
          <w:tcPr>
            <w:tcW w:w="1620" w:type="dxa"/>
            <w:vAlign w:val="bottom"/>
          </w:tcPr>
          <w:p>
            <w:pPr>
              <w:jc w:val="right"/>
              <w:ind w:right="575"/>
              <w:spacing w:after="0"/>
              <w:rPr>
                <w:sz w:val="20"/>
                <w:szCs w:val="20"/>
                <w:color w:val="auto"/>
              </w:rPr>
            </w:pPr>
            <w:r>
              <w:rPr>
                <w:rFonts w:ascii="Arial" w:cs="Arial" w:eastAsia="Arial" w:hAnsi="Arial"/>
                <w:sz w:val="14"/>
                <w:szCs w:val="14"/>
                <w:b w:val="1"/>
                <w:bCs w:val="1"/>
                <w:color w:val="auto"/>
              </w:rPr>
              <w:t>2023</w:t>
            </w:r>
          </w:p>
        </w:tc>
        <w:tc>
          <w:tcPr>
            <w:tcW w:w="192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options issued and outstanding</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4,869,644</w:t>
            </w:r>
          </w:p>
        </w:tc>
        <w:tc>
          <w:tcPr>
            <w:tcW w:w="30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4,819,906</w:t>
            </w:r>
          </w:p>
        </w:tc>
        <w:tc>
          <w:tcPr>
            <w:tcW w:w="140" w:type="dxa"/>
            <w:vAlign w:val="bottom"/>
            <w:shd w:val="clear" w:color="auto" w:fill="CFF0FC"/>
          </w:tcPr>
          <w:p>
            <w:pPr>
              <w:spacing w:after="0"/>
              <w:rPr>
                <w:sz w:val="20"/>
                <w:szCs w:val="20"/>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Common stock available for future grant</w:t>
            </w:r>
          </w:p>
        </w:tc>
        <w:tc>
          <w:tcPr>
            <w:tcW w:w="1620" w:type="dxa"/>
            <w:vAlign w:val="bottom"/>
          </w:tcPr>
          <w:p>
            <w:pPr>
              <w:jc w:val="right"/>
              <w:spacing w:after="0"/>
              <w:rPr>
                <w:sz w:val="20"/>
                <w:szCs w:val="20"/>
                <w:color w:val="auto"/>
              </w:rPr>
            </w:pPr>
            <w:r>
              <w:rPr>
                <w:rFonts w:ascii="Arial" w:cs="Arial" w:eastAsia="Arial" w:hAnsi="Arial"/>
                <w:sz w:val="18"/>
                <w:szCs w:val="18"/>
                <w:color w:val="auto"/>
              </w:rPr>
              <w:t>7,297,963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6,099,584</w:t>
            </w:r>
          </w:p>
        </w:tc>
        <w:tc>
          <w:tcPr>
            <w:tcW w:w="140" w:type="dxa"/>
            <w:vAlign w:val="bottom"/>
          </w:tcPr>
          <w:p>
            <w:pPr>
              <w:spacing w:after="0"/>
              <w:rPr>
                <w:sz w:val="20"/>
                <w:szCs w:val="20"/>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stock units outstanding</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1,906,435</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1,014,123</w:t>
            </w:r>
          </w:p>
        </w:tc>
        <w:tc>
          <w:tcPr>
            <w:tcW w:w="140" w:type="dxa"/>
            <w:vAlign w:val="bottom"/>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Shares available for future purchase under ESPP</w:t>
            </w:r>
          </w:p>
        </w:tc>
        <w:tc>
          <w:tcPr>
            <w:tcW w:w="1620" w:type="dxa"/>
            <w:vAlign w:val="bottom"/>
          </w:tcPr>
          <w:p>
            <w:pPr>
              <w:jc w:val="right"/>
              <w:spacing w:after="0"/>
              <w:rPr>
                <w:sz w:val="20"/>
                <w:szCs w:val="20"/>
                <w:color w:val="auto"/>
              </w:rPr>
            </w:pPr>
            <w:r>
              <w:rPr>
                <w:rFonts w:ascii="Arial" w:cs="Arial" w:eastAsia="Arial" w:hAnsi="Arial"/>
                <w:sz w:val="18"/>
                <w:szCs w:val="18"/>
                <w:color w:val="auto"/>
              </w:rPr>
              <w:t>1,630,570</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1,226,123</w:t>
            </w:r>
          </w:p>
        </w:tc>
        <w:tc>
          <w:tcPr>
            <w:tcW w:w="140" w:type="dxa"/>
            <w:vAlign w:val="bottom"/>
          </w:tcPr>
          <w:p>
            <w:pPr>
              <w:spacing w:after="0"/>
              <w:rPr>
                <w:sz w:val="20"/>
                <w:szCs w:val="20"/>
                <w:color w:val="auto"/>
              </w:rPr>
            </w:pPr>
          </w:p>
        </w:tc>
      </w:tr>
      <w:tr>
        <w:trPr>
          <w:trHeight w:val="277"/>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15,704,612</w:t>
            </w:r>
          </w:p>
        </w:tc>
        <w:tc>
          <w:tcPr>
            <w:tcW w:w="300" w:type="dxa"/>
            <w:vAlign w:val="bottom"/>
            <w:tcBorders>
              <w:bottom w:val="single" w:sz="8" w:color="CFF0FC"/>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13,159,736</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Equity Incentive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2011 Stock Option Plan and 2021 Incentive Award Plan</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In 2011, the Company established its 2011 Stock Option Plan (the “2011 Plan”), which provided for the granting of stock options to employees and certain nonemployees of the Company.</w:t>
      </w:r>
    </w:p>
    <w:p>
      <w:pPr>
        <w:spacing w:after="0" w:line="62" w:lineRule="exact"/>
        <w:rPr>
          <w:sz w:val="20"/>
          <w:szCs w:val="20"/>
          <w:color w:val="auto"/>
        </w:rPr>
      </w:pPr>
    </w:p>
    <w:p>
      <w:pPr>
        <w:ind w:right="60" w:firstLine="509"/>
        <w:spacing w:after="0" w:line="269" w:lineRule="auto"/>
        <w:rPr>
          <w:sz w:val="20"/>
          <w:szCs w:val="20"/>
          <w:color w:val="auto"/>
        </w:rPr>
      </w:pPr>
      <w:r>
        <w:rPr>
          <w:rFonts w:ascii="Arial" w:cs="Arial" w:eastAsia="Arial" w:hAnsi="Arial"/>
          <w:sz w:val="17"/>
          <w:szCs w:val="17"/>
          <w:color w:val="auto"/>
        </w:rPr>
        <w:t>In July 2021, the board of directors and stockholders adopted and approved the 2021 Incentive Award Plan, (the “2021 Plan”). Under the 2021 Plan, the Company has the ability to issue incentive stock options ("ISOs"), nonqualified stock options ("NSOs"), stock appreciation rights, dividend equivalent rights, restricted stock awards, and restricted stock unit awards ("RSUs"). Options under the 2021 Plan can typically be granted for periods of up to ten years. For stock options granted to a grantee who, at the time the option is granted, owned stock representing more than 10% of the voting power of all classes of stock of the Company (or any parent or subsidiary of the Company), the term of the stock option may be granted for periods of up to five years. The ISOs and NSOs will be granted at a price per share not less than the fair value at the date of grant. The exercise price of a stock option granted to a 10% stockholder shall be not less than 110% of the grant date fair value of the shares. Options granted to new hires generally vest over a four-year period, with 25% of the shares vesting on the first anniversary of the grant date and the remaining shares vesting in 36 equal monthly installments thereafter; options granted as merit awards generally vest in 48 equal monthly installments following the grant date. RSUs granted generally vest over a four-year period with straight-line vesting in equal amounts on an annual basis.</w:t>
      </w:r>
    </w:p>
    <w:p>
      <w:pPr>
        <w:spacing w:after="0" w:line="77" w:lineRule="exact"/>
        <w:rPr>
          <w:sz w:val="20"/>
          <w:szCs w:val="20"/>
          <w:color w:val="auto"/>
        </w:rPr>
      </w:pPr>
    </w:p>
    <w:p>
      <w:pPr>
        <w:ind w:right="180" w:firstLine="509"/>
        <w:spacing w:after="0" w:line="311" w:lineRule="auto"/>
        <w:rPr>
          <w:sz w:val="20"/>
          <w:szCs w:val="20"/>
          <w:color w:val="auto"/>
        </w:rPr>
      </w:pPr>
      <w:r>
        <w:rPr>
          <w:rFonts w:ascii="Arial" w:cs="Arial" w:eastAsia="Arial" w:hAnsi="Arial"/>
          <w:sz w:val="16"/>
          <w:szCs w:val="16"/>
          <w:color w:val="auto"/>
        </w:rPr>
        <w:t>The Company initially reserved 5,200,000 shares of common stock for future issuance under the 2021 Plan. Pursuant to the evergreen provision in the 2021 Plan, this initial reserve was increased by 2,414,907 and 2,375,235 shares on January 1, 2023 and 2022, respectively. These annual increases under the evergreen provision are equal to the lesser of (i) 5% of the aggregate number of shares of common stock outstanding on the final day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t>the immediately preceding calendar year and (ii) such smaller number of shares of common stock as determined by the Board, subject to certain limitations.</w:t>
      </w:r>
    </w:p>
    <w:p>
      <w:pPr>
        <w:spacing w:after="0" w:line="140"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2011 Plan was superseded by the 2021 Plan at the time of the IPO and no further grants have been made under the 2011 Plan from the date the 2021 Plan became effective. The terms under the 2011 Plan are consistent with those described above for the 2021 Plan.</w:t>
      </w:r>
    </w:p>
    <w:p>
      <w:pPr>
        <w:spacing w:after="0" w:line="62"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At June 30, 2023 and December 31, 2022 there were 7,297,963 and 6,099,584 shares, respectively, of common stock available for issuance under the 2021 Plan.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 Option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under the 2021 Plan during the periods presented: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7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Number of</w:t>
            </w:r>
          </w:p>
        </w:tc>
        <w:tc>
          <w:tcPr>
            <w:tcW w:w="1320" w:type="dxa"/>
            <w:vAlign w:val="bottom"/>
            <w:gridSpan w:val="2"/>
            <w:vMerge w:val="restart"/>
          </w:tcPr>
          <w:p>
            <w:pPr>
              <w:jc w:val="right"/>
              <w:ind w:right="32"/>
              <w:spacing w:after="0"/>
              <w:rPr>
                <w:sz w:val="20"/>
                <w:szCs w:val="20"/>
                <w:color w:val="auto"/>
              </w:rPr>
            </w:pPr>
            <w:r>
              <w:rPr>
                <w:rFonts w:ascii="Arial" w:cs="Arial" w:eastAsia="Arial" w:hAnsi="Arial"/>
                <w:sz w:val="14"/>
                <w:szCs w:val="14"/>
                <w:b w:val="1"/>
                <w:bCs w:val="1"/>
                <w:color w:val="auto"/>
                <w:w w:val="95"/>
              </w:rPr>
              <w:t>Weighted-Average</w:t>
            </w:r>
          </w:p>
        </w:tc>
        <w:tc>
          <w:tcPr>
            <w:tcW w:w="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32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Average Intrinsic Value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tcPr>
          <w:p>
            <w:pPr>
              <w:spacing w:after="0"/>
              <w:rPr>
                <w:sz w:val="16"/>
                <w:szCs w:val="16"/>
                <w:color w:val="auto"/>
              </w:rPr>
            </w:pPr>
          </w:p>
        </w:tc>
        <w:tc>
          <w:tcPr>
            <w:tcW w:w="17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Exercise Price</w:t>
            </w:r>
          </w:p>
        </w:tc>
        <w:tc>
          <w:tcPr>
            <w:tcW w:w="2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Term (in years)</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4"/>
              <w:spacing w:after="0"/>
              <w:rPr>
                <w:sz w:val="20"/>
                <w:szCs w:val="20"/>
                <w:color w:val="auto"/>
              </w:rPr>
            </w:pPr>
            <w:r>
              <w:rPr>
                <w:rFonts w:ascii="Arial" w:cs="Arial" w:eastAsia="Arial" w:hAnsi="Arial"/>
                <w:sz w:val="14"/>
                <w:szCs w:val="14"/>
                <w:b w:val="1"/>
                <w:bCs w:val="1"/>
                <w:color w:val="auto"/>
                <w:w w:val="99"/>
              </w:rPr>
              <w:t>(in thousands)</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December 31, 2022</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4,819,906</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26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19,463</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340" w:type="dxa"/>
            <w:vAlign w:val="bottom"/>
          </w:tcPr>
          <w:p>
            <w:pPr>
              <w:ind w:left="200"/>
              <w:spacing w:after="0"/>
              <w:rPr>
                <w:sz w:val="20"/>
                <w:szCs w:val="20"/>
                <w:color w:val="auto"/>
              </w:rPr>
            </w:pPr>
            <w:r>
              <w:rPr>
                <w:rFonts w:ascii="Arial" w:cs="Arial" w:eastAsia="Arial" w:hAnsi="Arial"/>
                <w:sz w:val="18"/>
                <w:szCs w:val="18"/>
                <w:color w:val="auto"/>
              </w:rPr>
              <w:t>Grants</w:t>
            </w:r>
          </w:p>
        </w:tc>
        <w:tc>
          <w:tcPr>
            <w:tcW w:w="1420" w:type="dxa"/>
            <w:vAlign w:val="bottom"/>
          </w:tcPr>
          <w:p>
            <w:pPr>
              <w:jc w:val="right"/>
              <w:spacing w:after="0"/>
              <w:rPr>
                <w:sz w:val="20"/>
                <w:szCs w:val="20"/>
                <w:color w:val="auto"/>
              </w:rPr>
            </w:pPr>
            <w:r>
              <w:rPr>
                <w:rFonts w:ascii="Arial" w:cs="Arial" w:eastAsia="Arial" w:hAnsi="Arial"/>
                <w:sz w:val="18"/>
                <w:szCs w:val="18"/>
                <w:color w:val="auto"/>
              </w:rPr>
              <w:t>745,800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9.81</w:t>
            </w: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3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Forfeited/cancelled</w:t>
            </w:r>
          </w:p>
        </w:tc>
        <w:tc>
          <w:tcPr>
            <w:tcW w:w="17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(591,416 )</w:t>
            </w:r>
          </w:p>
        </w:tc>
        <w:tc>
          <w:tcPr>
            <w:tcW w:w="16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26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0"/>
              <w:spacing w:after="0"/>
              <w:rPr>
                <w:sz w:val="20"/>
                <w:szCs w:val="20"/>
                <w:color w:val="auto"/>
              </w:rPr>
            </w:pPr>
            <w:r>
              <w:rPr>
                <w:rFonts w:ascii="Arial" w:cs="Arial" w:eastAsia="Arial" w:hAnsi="Arial"/>
                <w:sz w:val="18"/>
                <w:szCs w:val="18"/>
                <w:color w:val="auto"/>
              </w:rPr>
              <w:t>Exercised/released</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(104,646 )</w:t>
            </w: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Balances as of June 30, 2023</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4,869,644</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520" w:type="dxa"/>
            <w:vAlign w:val="bottom"/>
            <w:tcBorders>
              <w:bottom w:val="single" w:sz="8" w:color="CFF0FC"/>
            </w:tcBorders>
            <w:gridSpan w:val="2"/>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9,721</w:t>
            </w:r>
          </w:p>
        </w:tc>
        <w:tc>
          <w:tcPr>
            <w:tcW w:w="14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340" w:type="dxa"/>
            <w:vAlign w:val="bottom"/>
          </w:tcPr>
          <w:p>
            <w:pPr>
              <w:ind w:left="20"/>
              <w:spacing w:after="0"/>
              <w:rPr>
                <w:sz w:val="20"/>
                <w:szCs w:val="20"/>
                <w:color w:val="auto"/>
              </w:rPr>
            </w:pPr>
            <w:r>
              <w:rPr>
                <w:rFonts w:ascii="Arial" w:cs="Arial" w:eastAsia="Arial" w:hAnsi="Arial"/>
                <w:sz w:val="18"/>
                <w:szCs w:val="18"/>
                <w:color w:val="auto"/>
              </w:rPr>
              <w:t>Vested and exercisable as of June 30, 2023</w:t>
            </w:r>
          </w:p>
        </w:tc>
        <w:tc>
          <w:tcPr>
            <w:tcW w:w="1420" w:type="dxa"/>
            <w:vAlign w:val="bottom"/>
          </w:tcPr>
          <w:p>
            <w:pPr>
              <w:jc w:val="right"/>
              <w:spacing w:after="0"/>
              <w:rPr>
                <w:sz w:val="20"/>
                <w:szCs w:val="20"/>
                <w:color w:val="auto"/>
              </w:rPr>
            </w:pPr>
            <w:r>
              <w:rPr>
                <w:rFonts w:ascii="Arial" w:cs="Arial" w:eastAsia="Arial" w:hAnsi="Arial"/>
                <w:sz w:val="18"/>
                <w:szCs w:val="18"/>
                <w:color w:val="auto"/>
              </w:rPr>
              <w:t>2,552,922</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7.49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8,480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 and expected to vest as of June 30, 2023</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4,869,644</w:t>
            </w:r>
          </w:p>
        </w:tc>
        <w:tc>
          <w:tcPr>
            <w:tcW w:w="30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520" w:type="dxa"/>
            <w:vAlign w:val="bottom"/>
            <w:gridSpan w:val="2"/>
            <w:shd w:val="clear" w:color="auto" w:fill="CFF0FC"/>
          </w:tcPr>
          <w:p>
            <w:pPr>
              <w:ind w:left="3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9,721</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-334010</wp:posOffset>
            </wp:positionV>
            <wp:extent cx="85725" cy="1797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79705"/>
                    </a:xfrm>
                    <a:prstGeom prst="rect">
                      <a:avLst/>
                    </a:prstGeom>
                    <a:noFill/>
                  </pic:spPr>
                </pic:pic>
              </a:graphicData>
            </a:graphic>
          </wp:anchor>
        </w:drawing>
      </w:r>
    </w:p>
    <w:p>
      <w:pPr>
        <w:spacing w:after="0" w:line="29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During the three and six months ended June 30, 2023, the Company recorded stock-based compensation expense of $2.3 million and $4.5 million related to stock option awards, respectively. During the three and six months ended June 30, 2022, the Company recorded stock-based compensation expense of $2.6 million and $5.1 million related to stock option awards, respectively. The weighted-average grant-date fair values of options granted during the six months ended June 30, 2023 and 2022 was $6.94 and $9.67 per share, respectively.</w:t>
      </w:r>
    </w:p>
    <w:p>
      <w:pPr>
        <w:spacing w:after="0" w:line="187" w:lineRule="exact"/>
        <w:rPr>
          <w:sz w:val="20"/>
          <w:szCs w:val="20"/>
          <w:color w:val="auto"/>
        </w:rPr>
      </w:pPr>
    </w:p>
    <w:p>
      <w:pPr>
        <w:ind w:right="160" w:firstLine="509"/>
        <w:spacing w:after="0" w:line="279" w:lineRule="auto"/>
        <w:rPr>
          <w:sz w:val="20"/>
          <w:szCs w:val="20"/>
          <w:color w:val="auto"/>
        </w:rPr>
      </w:pPr>
      <w:r>
        <w:rPr>
          <w:rFonts w:ascii="Arial" w:cs="Arial" w:eastAsia="Arial" w:hAnsi="Arial"/>
          <w:sz w:val="17"/>
          <w:szCs w:val="17"/>
          <w:color w:val="auto"/>
        </w:rPr>
        <w:t>The aggregate intrinsic value of options exercised was $0.5 million and $1.0 million during the three and six months ended June 30, 2023, respectively. The aggregate intrinsic value was calculated as the difference between the exercise prices of the underlying options and the estimated fair value of the common stock on the date of exercise. As of June 30, 2023, the unrecognized stock-based compensation expense relating to unvested options was $19.4 million, which is expected to be recognized over a weighted-average period of 2.2 years.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Fair Value</w:t>
      </w:r>
    </w:p>
    <w:p>
      <w:pPr>
        <w:spacing w:after="0" w:line="225"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auto"/>
        </w:rPr>
        <w:t>The Company estimated the grant date fair value of stock options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80" w:type="dxa"/>
            <w:vAlign w:val="bottom"/>
            <w:gridSpan w:val="4"/>
          </w:tcPr>
          <w:p>
            <w:pPr>
              <w:ind w:left="460"/>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85"/>
        </w:trPr>
        <w:tc>
          <w:tcPr>
            <w:tcW w:w="35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w w:val="96"/>
              </w:rPr>
              <w:t>June 30,</w:t>
            </w:r>
          </w:p>
        </w:tc>
        <w:tc>
          <w:tcPr>
            <w:tcW w:w="9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w w:val="92"/>
              </w:rPr>
              <w:t>June 30,</w:t>
            </w:r>
          </w:p>
        </w:tc>
        <w:tc>
          <w:tcPr>
            <w:tcW w:w="960" w:type="dxa"/>
            <w:vAlign w:val="bottom"/>
            <w:tcBorders>
              <w:bottom w:val="single" w:sz="8" w:color="auto"/>
            </w:tcBorders>
          </w:tcPr>
          <w:p>
            <w:pPr>
              <w:spacing w:after="0"/>
              <w:rPr>
                <w:sz w:val="16"/>
                <w:szCs w:val="16"/>
                <w:color w:val="auto"/>
              </w:rPr>
            </w:pPr>
          </w:p>
        </w:tc>
      </w:tr>
      <w:tr>
        <w:trPr>
          <w:trHeight w:val="169"/>
        </w:trPr>
        <w:tc>
          <w:tcPr>
            <w:tcW w:w="3540" w:type="dxa"/>
            <w:vAlign w:val="bottom"/>
          </w:tcPr>
          <w:p>
            <w:pPr>
              <w:spacing w:after="0"/>
              <w:rPr>
                <w:sz w:val="14"/>
                <w:szCs w:val="14"/>
                <w:color w:val="auto"/>
              </w:rPr>
            </w:pPr>
          </w:p>
        </w:tc>
        <w:tc>
          <w:tcPr>
            <w:tcW w:w="1580" w:type="dxa"/>
            <w:vAlign w:val="bottom"/>
            <w:gridSpan w:val="2"/>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220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4"/>
                <w:szCs w:val="14"/>
                <w:color w:val="auto"/>
              </w:rPr>
            </w:pPr>
          </w:p>
        </w:tc>
        <w:tc>
          <w:tcPr>
            <w:tcW w:w="1580" w:type="dxa"/>
            <w:vAlign w:val="bottom"/>
            <w:gridSpan w:val="2"/>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2180" w:type="dxa"/>
            <w:vAlign w:val="bottom"/>
            <w:gridSpan w:val="4"/>
          </w:tcPr>
          <w:p>
            <w:pPr>
              <w:jc w:val="right"/>
              <w:ind w:right="650"/>
              <w:spacing w:after="0"/>
              <w:rPr>
                <w:sz w:val="20"/>
                <w:szCs w:val="20"/>
                <w:color w:val="auto"/>
              </w:rPr>
            </w:pPr>
            <w:r>
              <w:rPr>
                <w:rFonts w:ascii="Arial" w:cs="Arial" w:eastAsia="Arial" w:hAnsi="Arial"/>
                <w:sz w:val="14"/>
                <w:szCs w:val="14"/>
                <w:b w:val="1"/>
                <w:bCs w:val="1"/>
                <w:color w:val="auto"/>
              </w:rPr>
              <w:t>2022</w:t>
            </w:r>
          </w:p>
        </w:tc>
      </w:tr>
      <w:tr>
        <w:trPr>
          <w:trHeight w:val="237"/>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7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6.07</w:t>
            </w:r>
          </w:p>
        </w:tc>
        <w:tc>
          <w:tcPr>
            <w:tcW w:w="2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6.04</w:t>
            </w:r>
          </w:p>
        </w:tc>
        <w:tc>
          <w:tcPr>
            <w:tcW w:w="16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7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6.07</w:t>
            </w:r>
          </w:p>
        </w:tc>
        <w:tc>
          <w:tcPr>
            <w:tcW w:w="2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9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6.94</w:t>
            </w:r>
          </w:p>
        </w:tc>
      </w:tr>
      <w:tr>
        <w:trPr>
          <w:trHeight w:val="263"/>
        </w:trPr>
        <w:tc>
          <w:tcPr>
            <w:tcW w:w="35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20" w:type="dxa"/>
            <w:vAlign w:val="bottom"/>
          </w:tcPr>
          <w:p>
            <w:pPr>
              <w:jc w:val="right"/>
              <w:spacing w:after="0"/>
              <w:rPr>
                <w:sz w:val="20"/>
                <w:szCs w:val="20"/>
                <w:color w:val="auto"/>
              </w:rPr>
            </w:pPr>
            <w:r>
              <w:rPr>
                <w:rFonts w:ascii="Arial" w:cs="Arial" w:eastAsia="Arial" w:hAnsi="Arial"/>
                <w:sz w:val="18"/>
                <w:szCs w:val="18"/>
                <w:color w:val="auto"/>
              </w:rPr>
              <w:t>78.53%</w:t>
            </w:r>
          </w:p>
        </w:tc>
        <w:tc>
          <w:tcPr>
            <w:tcW w:w="760" w:type="dxa"/>
            <w:vAlign w:val="bottom"/>
          </w:tcPr>
          <w:p>
            <w:pPr>
              <w:ind w:left="20"/>
              <w:spacing w:after="0"/>
              <w:rPr>
                <w:sz w:val="20"/>
                <w:szCs w:val="20"/>
                <w:color w:val="auto"/>
              </w:rPr>
            </w:pPr>
            <w:r>
              <w:rPr>
                <w:rFonts w:ascii="Arial" w:cs="Arial" w:eastAsia="Arial" w:hAnsi="Arial"/>
                <w:sz w:val="18"/>
                <w:szCs w:val="18"/>
                <w:color w:val="auto"/>
                <w:w w:val="94"/>
              </w:rPr>
              <w:t>– 79.60%</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58.74%</w:t>
            </w:r>
          </w:p>
        </w:tc>
        <w:tc>
          <w:tcPr>
            <w:tcW w:w="960" w:type="dxa"/>
            <w:vAlign w:val="bottom"/>
          </w:tcPr>
          <w:p>
            <w:pPr>
              <w:ind w:left="20"/>
              <w:spacing w:after="0"/>
              <w:rPr>
                <w:sz w:val="20"/>
                <w:szCs w:val="20"/>
                <w:color w:val="auto"/>
              </w:rPr>
            </w:pPr>
            <w:r>
              <w:rPr>
                <w:rFonts w:ascii="Arial" w:cs="Arial" w:eastAsia="Arial" w:hAnsi="Arial"/>
                <w:sz w:val="18"/>
                <w:szCs w:val="18"/>
                <w:color w:val="auto"/>
              </w:rPr>
              <w:t>– 59.24%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78.53%</w:t>
            </w:r>
          </w:p>
        </w:tc>
        <w:tc>
          <w:tcPr>
            <w:tcW w:w="760" w:type="dxa"/>
            <w:vAlign w:val="bottom"/>
          </w:tcPr>
          <w:p>
            <w:pPr>
              <w:ind w:left="20"/>
              <w:spacing w:after="0"/>
              <w:rPr>
                <w:sz w:val="20"/>
                <w:szCs w:val="20"/>
                <w:color w:val="auto"/>
              </w:rPr>
            </w:pPr>
            <w:r>
              <w:rPr>
                <w:rFonts w:ascii="Arial" w:cs="Arial" w:eastAsia="Arial" w:hAnsi="Arial"/>
                <w:sz w:val="18"/>
                <w:szCs w:val="18"/>
                <w:color w:val="auto"/>
                <w:w w:val="94"/>
              </w:rPr>
              <w:t>– 79.73%</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58.74%</w:t>
            </w:r>
          </w:p>
        </w:tc>
        <w:tc>
          <w:tcPr>
            <w:tcW w:w="960" w:type="dxa"/>
            <w:vAlign w:val="bottom"/>
          </w:tcPr>
          <w:p>
            <w:pPr>
              <w:ind w:left="20"/>
              <w:spacing w:after="0"/>
              <w:rPr>
                <w:sz w:val="20"/>
                <w:szCs w:val="20"/>
                <w:color w:val="auto"/>
              </w:rPr>
            </w:pPr>
            <w:r>
              <w:rPr>
                <w:rFonts w:ascii="Arial" w:cs="Arial" w:eastAsia="Arial" w:hAnsi="Arial"/>
                <w:sz w:val="18"/>
                <w:szCs w:val="18"/>
                <w:color w:val="auto"/>
              </w:rPr>
              <w:t>– 60.12%</w:t>
            </w:r>
          </w:p>
        </w:tc>
      </w:tr>
      <w:tr>
        <w:trPr>
          <w:trHeight w:val="250"/>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3.65%</w:t>
            </w:r>
          </w:p>
        </w:tc>
        <w:tc>
          <w:tcPr>
            <w:tcW w:w="12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3.14%</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3.48%</w:t>
            </w:r>
          </w:p>
        </w:tc>
        <w:tc>
          <w:tcPr>
            <w:tcW w:w="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3.67%</w:t>
            </w: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3.14%</w:t>
            </w:r>
          </w:p>
        </w:tc>
      </w:tr>
      <w:tr>
        <w:trPr>
          <w:trHeight w:val="257"/>
        </w:trPr>
        <w:tc>
          <w:tcPr>
            <w:tcW w:w="35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82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expected term is calculated using the simplified method, which is available if there is insufficient historical data about exercise patterns and post vesting employment termination behavior. The simplified method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based on the vesting period and the contractual term for each grant or for each vesting tranche for awards with graded vesting. The midpoint of the vesting date and the maximum contractual expiration date is used as the expected term under this method. For awards with multiple vesting tranches, the time from grant until the midpoints for each of the tranches may be averaged to provide an overall expected term.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The Company used an average historical stock price volatility of a peer group of publicly traded companies to be representative of its expected future stock price volatility, as the Company's trading history for its common stock does not cover the expected term of granted awards.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2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risk-free interest rate is based on the implied yield currently available on U.S. Treasury zero-coupon issues with remaining terms equivalent to the expected term of a stock award.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Expected Dividend Rate</w:t>
      </w:r>
    </w:p>
    <w:p>
      <w:pPr>
        <w:spacing w:after="0" w:line="158"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The Company has not paid, and does not anticipate paying, any dividends in the near future. Accordingly, the Company has estimated the dividend yield to be 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Restricted Stock Units</w:t>
      </w:r>
    </w:p>
    <w:p>
      <w:pPr>
        <w:spacing w:after="0" w:line="117" w:lineRule="exact"/>
        <w:rPr>
          <w:sz w:val="20"/>
          <w:szCs w:val="20"/>
          <w:color w:val="auto"/>
        </w:rPr>
      </w:pPr>
    </w:p>
    <w:p>
      <w:pPr>
        <w:ind w:right="60" w:firstLine="509"/>
        <w:spacing w:after="0" w:line="301" w:lineRule="auto"/>
        <w:rPr>
          <w:sz w:val="20"/>
          <w:szCs w:val="20"/>
          <w:color w:val="auto"/>
        </w:rPr>
      </w:pPr>
      <w:r>
        <w:rPr>
          <w:rFonts w:ascii="Arial" w:cs="Arial" w:eastAsia="Arial" w:hAnsi="Arial"/>
          <w:sz w:val="16"/>
          <w:szCs w:val="16"/>
          <w:color w:val="auto"/>
        </w:rPr>
        <w:t>RSUs are share awards that entitle the holder to receive freely tradeable shares of the Company’s common stock upon vesting. The RSUs cannot be transferred, and the awards are subject to forfeiture if the holder’s employment terminates prior to the release of the vesting restrictions. The RSUs generally vest over a four-year period with straight-line vesting in equal amounts on an annual basis, provided the employee remains continuously employed with the Company. The fair value of the RSUs is equal to the closing price of the Company’s common stock on the grant date.</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restricted share award activity under the 2021 Plan:</w:t>
      </w:r>
    </w:p>
    <w:p>
      <w:pPr>
        <w:spacing w:after="0" w:line="35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1420" w:type="dxa"/>
            <w:vAlign w:val="bottom"/>
          </w:tcPr>
          <w:p>
            <w:pPr>
              <w:jc w:val="center"/>
              <w:ind w:left="688"/>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5"/>
              </w:rPr>
              <w:t>Weighted-Average Grant Date</w:t>
            </w:r>
          </w:p>
        </w:tc>
        <w:tc>
          <w:tcPr>
            <w:tcW w:w="120" w:type="dxa"/>
            <w:vAlign w:val="bottom"/>
          </w:tcPr>
          <w:p>
            <w:pPr>
              <w:spacing w:after="0"/>
              <w:rPr>
                <w:sz w:val="14"/>
                <w:szCs w:val="14"/>
                <w:color w:val="auto"/>
              </w:rPr>
            </w:pPr>
          </w:p>
        </w:tc>
      </w:tr>
      <w:tr>
        <w:trPr>
          <w:trHeight w:val="185"/>
        </w:trPr>
        <w:tc>
          <w:tcPr>
            <w:tcW w:w="4860" w:type="dxa"/>
            <w:vAlign w:val="bottom"/>
          </w:tcPr>
          <w:p>
            <w:pPr>
              <w:spacing w:after="0"/>
              <w:rPr>
                <w:sz w:val="16"/>
                <w:szCs w:val="16"/>
                <w:color w:val="auto"/>
              </w:rPr>
            </w:pPr>
          </w:p>
        </w:tc>
        <w:tc>
          <w:tcPr>
            <w:tcW w:w="142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b w:val="1"/>
                <w:bCs w:val="1"/>
                <w:color w:val="auto"/>
                <w:w w:val="89"/>
              </w:rPr>
              <w:t>Shares</w:t>
            </w:r>
          </w:p>
        </w:tc>
        <w:tc>
          <w:tcPr>
            <w:tcW w:w="7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Fair Value Per Share</w:t>
            </w:r>
          </w:p>
        </w:tc>
        <w:tc>
          <w:tcPr>
            <w:tcW w:w="120" w:type="dxa"/>
            <w:vAlign w:val="bottom"/>
          </w:tcPr>
          <w:p>
            <w:pPr>
              <w:spacing w:after="0"/>
              <w:rPr>
                <w:sz w:val="16"/>
                <w:szCs w:val="16"/>
                <w:color w:val="auto"/>
              </w:rPr>
            </w:pPr>
          </w:p>
        </w:tc>
      </w:tr>
      <w:tr>
        <w:trPr>
          <w:trHeight w:val="237"/>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December 31, 2022</w:t>
            </w:r>
          </w:p>
        </w:tc>
        <w:tc>
          <w:tcPr>
            <w:tcW w:w="14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1,014,123</w:t>
            </w: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CFF0FC"/>
          </w:tcPr>
          <w:p>
            <w:pPr>
              <w:spacing w:after="0"/>
              <w:rPr>
                <w:sz w:val="20"/>
                <w:szCs w:val="20"/>
                <w:color w:val="auto"/>
              </w:rPr>
            </w:pPr>
          </w:p>
        </w:tc>
      </w:tr>
      <w:tr>
        <w:trPr>
          <w:trHeight w:val="237"/>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Grants</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1,298,236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r>
      <w:tr>
        <w:trPr>
          <w:trHeight w:val="249"/>
        </w:trPr>
        <w:tc>
          <w:tcPr>
            <w:tcW w:w="62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Forfeited/cancelled</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7"/>
              </w:rPr>
              <w:t>(236,092 )</w:t>
            </w:r>
          </w:p>
        </w:tc>
        <w:tc>
          <w:tcPr>
            <w:tcW w:w="24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w:t>
            </w:r>
          </w:p>
        </w:tc>
        <w:tc>
          <w:tcPr>
            <w:tcW w:w="120" w:type="dxa"/>
            <w:vAlign w:val="bottom"/>
            <w:shd w:val="clear" w:color="auto" w:fill="CFF0FC"/>
          </w:tcPr>
          <w:p>
            <w:pPr>
              <w:spacing w:after="0"/>
              <w:rPr>
                <w:sz w:val="21"/>
                <w:szCs w:val="21"/>
                <w:color w:val="auto"/>
              </w:rPr>
            </w:pPr>
          </w:p>
        </w:tc>
      </w:tr>
      <w:tr>
        <w:trPr>
          <w:trHeight w:val="243"/>
        </w:trPr>
        <w:tc>
          <w:tcPr>
            <w:tcW w:w="628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(169,832 )</w:t>
            </w:r>
          </w:p>
        </w:tc>
        <w:tc>
          <w:tcPr>
            <w:tcW w:w="24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21"/>
                <w:szCs w:val="21"/>
                <w:color w:val="auto"/>
              </w:rPr>
            </w:pPr>
          </w:p>
        </w:tc>
      </w:tr>
      <w:tr>
        <w:trPr>
          <w:trHeight w:val="277"/>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June 30, 2023</w:t>
            </w:r>
          </w:p>
        </w:tc>
        <w:tc>
          <w:tcPr>
            <w:tcW w:w="1420" w:type="dxa"/>
            <w:vAlign w:val="bottom"/>
            <w:tcBorders>
              <w:top w:val="single" w:sz="8" w:color="auto"/>
              <w:bottom w:val="single" w:sz="8" w:color="auto"/>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1,906,435</w:t>
            </w:r>
          </w:p>
        </w:tc>
        <w:tc>
          <w:tcPr>
            <w:tcW w:w="2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During the three and six months ended June 30, 2023, the Company recorded stock-based compensation expense of $1.4 million and $2.5 million, respectively, related to the RSUs. During the three and six months ended June 30, 2022, the Company recorded stock-based compensation expense of $0.8 million and $1.3 million, respectively, related to the RSUs. As of June 30, 2023, there was $19.1 million of total unrecognized stock-based compensation expense relating to the RSUs that is expected to be recognized over a weighted-average period of 3.2 years.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Employee Stock Purchase Plan</w:t>
      </w:r>
    </w:p>
    <w:p>
      <w:pPr>
        <w:spacing w:after="0" w:line="117" w:lineRule="exact"/>
        <w:rPr>
          <w:sz w:val="20"/>
          <w:szCs w:val="20"/>
          <w:color w:val="auto"/>
        </w:rPr>
      </w:pPr>
    </w:p>
    <w:p>
      <w:pPr>
        <w:ind w:right="180" w:firstLine="509"/>
        <w:spacing w:after="0" w:line="279" w:lineRule="auto"/>
        <w:rPr>
          <w:sz w:val="20"/>
          <w:szCs w:val="20"/>
          <w:color w:val="auto"/>
        </w:rPr>
      </w:pPr>
      <w:r>
        <w:rPr>
          <w:rFonts w:ascii="Arial" w:cs="Arial" w:eastAsia="Arial" w:hAnsi="Arial"/>
          <w:sz w:val="17"/>
          <w:szCs w:val="17"/>
          <w:color w:val="auto"/>
        </w:rPr>
        <w:t>In July 2021, the board of directors and stockholders adopted and approved the 2021 Employee Stock Purchase Plan (the “ESPP”). The Company initially reserved 850,000 shares of common stock for future issuance under the ESPP. Pursuant to the evergreen provision under the ESPP, this initial reserve was increased by 482,981 and 475,047 shares on January 1, 2023 and 2022, respectively. These annual increases were effected pursuant to an evergreen provision in the ESPP, and are equal to the lesser of (i) 1% of the aggregate number of shares of common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8" w:name="page19"/>
    <w:bookmarkEnd w:id="18"/>
    <w:p>
      <w:pPr>
        <w:ind w:right="260"/>
        <w:spacing w:after="0" w:line="277" w:lineRule="auto"/>
        <w:rPr>
          <w:sz w:val="20"/>
          <w:szCs w:val="20"/>
          <w:color w:val="auto"/>
        </w:rPr>
      </w:pPr>
      <w:r>
        <w:rPr>
          <w:rFonts w:ascii="Arial" w:cs="Arial" w:eastAsia="Arial" w:hAnsi="Arial"/>
          <w:sz w:val="18"/>
          <w:szCs w:val="18"/>
          <w:color w:val="auto"/>
        </w:rPr>
        <w:t>stock outstanding on the final day of the immediately preceding calendar year and (ii) such smaller number of shares of common stock as determined by the board of directors, subject to certain limitations.</w:t>
      </w:r>
    </w:p>
    <w:p>
      <w:pPr>
        <w:spacing w:after="0" w:line="62" w:lineRule="exact"/>
        <w:rPr>
          <w:sz w:val="20"/>
          <w:szCs w:val="20"/>
          <w:color w:val="auto"/>
        </w:rPr>
      </w:pPr>
    </w:p>
    <w:p>
      <w:pPr>
        <w:ind w:right="60" w:firstLine="509"/>
        <w:spacing w:after="0" w:line="342" w:lineRule="auto"/>
        <w:rPr>
          <w:sz w:val="20"/>
          <w:szCs w:val="20"/>
          <w:color w:val="auto"/>
        </w:rPr>
      </w:pPr>
      <w:r>
        <w:rPr>
          <w:rFonts w:ascii="Arial" w:cs="Arial" w:eastAsia="Arial" w:hAnsi="Arial"/>
          <w:sz w:val="16"/>
          <w:szCs w:val="16"/>
          <w:color w:val="auto"/>
        </w:rPr>
        <w:t>The Company has two offering periods annually, running for six-months, with the first offering period beginning in the second quarter, and the second offering period beginning in the fourth quarter. The purchase of shares for participants in the ESPP occurs at the conclusion of each offering period.</w:t>
      </w:r>
    </w:p>
    <w:p>
      <w:pPr>
        <w:spacing w:after="0" w:line="16"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For the six months ended June 30, 2023, participants in the ESPP purchased 78,534 shares for a total of $0.7 million. As of June 30, 2023, the Company has collected payroll withholdings of $0.2 million in the current offering period for the purchase of shares under the ESPP. The Company recorded stock-based compensation expense associated with the ESPP of $0.1 million and $0.3 million for the three and six months ended June 30, 2023, respectively. The Company recorded stock-based compensation expense associated with the ESPP of $0.1 million for both the three and six months ended June 30, 2022.</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there were 1,630,570 shares of common stock available for issuance under the ESPP.</w:t>
      </w:r>
    </w:p>
    <w:p>
      <w:pPr>
        <w:spacing w:after="0" w:line="117" w:lineRule="exact"/>
        <w:rPr>
          <w:sz w:val="20"/>
          <w:szCs w:val="20"/>
          <w:color w:val="auto"/>
        </w:rPr>
      </w:pPr>
    </w:p>
    <w:p>
      <w:pPr>
        <w:ind w:right="280" w:firstLine="509"/>
        <w:spacing w:after="0" w:line="277" w:lineRule="auto"/>
        <w:rPr>
          <w:sz w:val="20"/>
          <w:szCs w:val="20"/>
          <w:color w:val="auto"/>
        </w:rPr>
      </w:pPr>
      <w:r>
        <w:rPr>
          <w:rFonts w:ascii="Arial" w:cs="Arial" w:eastAsia="Arial" w:hAnsi="Arial"/>
          <w:sz w:val="18"/>
          <w:szCs w:val="18"/>
          <w:color w:val="auto"/>
        </w:rPr>
        <w:t>The fair value of shares to be issued under the Company's 2021 ESPP was estimated using the Black-Scholes valuation model with the following assumptions for the three and six months ended June 30, 2023:</w:t>
      </w:r>
    </w:p>
    <w:p>
      <w:pPr>
        <w:spacing w:after="0" w:line="29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3"/>
          </w:tcPr>
          <w:p>
            <w:pPr>
              <w:jc w:val="center"/>
              <w:ind w:left="117"/>
              <w:spacing w:after="0"/>
              <w:rPr>
                <w:sz w:val="20"/>
                <w:szCs w:val="20"/>
                <w:color w:val="auto"/>
              </w:rPr>
            </w:pPr>
            <w:r>
              <w:rPr>
                <w:rFonts w:ascii="Arial" w:cs="Arial" w:eastAsia="Arial" w:hAnsi="Arial"/>
                <w:sz w:val="14"/>
                <w:szCs w:val="14"/>
                <w:b w:val="1"/>
                <w:bCs w:val="1"/>
                <w:color w:val="auto"/>
                <w:w w:val="93"/>
              </w:rPr>
              <w:t>Three Months Ended</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40" w:type="dxa"/>
            <w:vAlign w:val="bottom"/>
            <w:gridSpan w:val="3"/>
          </w:tcPr>
          <w:p>
            <w:pPr>
              <w:ind w:left="440"/>
              <w:spacing w:after="0"/>
              <w:rPr>
                <w:sz w:val="20"/>
                <w:szCs w:val="20"/>
                <w:color w:val="auto"/>
              </w:rPr>
            </w:pPr>
            <w:r>
              <w:rPr>
                <w:rFonts w:ascii="Arial" w:cs="Arial" w:eastAsia="Arial" w:hAnsi="Arial"/>
                <w:sz w:val="14"/>
                <w:szCs w:val="14"/>
                <w:b w:val="1"/>
                <w:bCs w:val="1"/>
                <w:color w:val="auto"/>
                <w:w w:val="97"/>
              </w:rPr>
              <w:t>Six Months Ended</w:t>
            </w:r>
          </w:p>
        </w:tc>
        <w:tc>
          <w:tcPr>
            <w:tcW w:w="1240" w:type="dxa"/>
            <w:vAlign w:val="bottom"/>
          </w:tcPr>
          <w:p>
            <w:pPr>
              <w:spacing w:after="0"/>
              <w:rPr>
                <w:sz w:val="14"/>
                <w:szCs w:val="14"/>
                <w:color w:val="auto"/>
              </w:rPr>
            </w:pPr>
          </w:p>
        </w:tc>
      </w:tr>
      <w:tr>
        <w:trPr>
          <w:trHeight w:val="185"/>
        </w:trPr>
        <w:tc>
          <w:tcPr>
            <w:tcW w:w="35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157"/>
              <w:spacing w:after="0"/>
              <w:rPr>
                <w:sz w:val="20"/>
                <w:szCs w:val="20"/>
                <w:color w:val="auto"/>
              </w:rPr>
            </w:pPr>
            <w:r>
              <w:rPr>
                <w:rFonts w:ascii="Arial" w:cs="Arial" w:eastAsia="Arial" w:hAnsi="Arial"/>
                <w:sz w:val="14"/>
                <w:szCs w:val="14"/>
                <w:b w:val="1"/>
                <w:bCs w:val="1"/>
                <w:color w:val="auto"/>
                <w:w w:val="89"/>
              </w:rPr>
              <w:t>June 30,</w:t>
            </w:r>
          </w:p>
        </w:tc>
        <w:tc>
          <w:tcPr>
            <w:tcW w:w="12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June 30,</w:t>
            </w:r>
          </w:p>
        </w:tc>
        <w:tc>
          <w:tcPr>
            <w:tcW w:w="1240" w:type="dxa"/>
            <w:vAlign w:val="bottom"/>
            <w:tcBorders>
              <w:bottom w:val="single" w:sz="8" w:color="auto"/>
            </w:tcBorders>
          </w:tcPr>
          <w:p>
            <w:pPr>
              <w:spacing w:after="0"/>
              <w:rPr>
                <w:sz w:val="16"/>
                <w:szCs w:val="16"/>
                <w:color w:val="auto"/>
              </w:rPr>
            </w:pPr>
          </w:p>
        </w:tc>
      </w:tr>
      <w:tr>
        <w:trPr>
          <w:trHeight w:val="169"/>
        </w:trPr>
        <w:tc>
          <w:tcPr>
            <w:tcW w:w="3580" w:type="dxa"/>
            <w:vAlign w:val="bottom"/>
          </w:tcPr>
          <w:p>
            <w:pPr>
              <w:spacing w:after="0"/>
              <w:rPr>
                <w:sz w:val="14"/>
                <w:szCs w:val="1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2023</w:t>
            </w: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494"/>
              <w:spacing w:after="0"/>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4"/>
                <w:szCs w:val="14"/>
                <w:color w:val="auto"/>
              </w:rPr>
            </w:pPr>
          </w:p>
        </w:tc>
        <w:tc>
          <w:tcPr>
            <w:tcW w:w="1780" w:type="dxa"/>
            <w:vAlign w:val="bottom"/>
            <w:tcBorders>
              <w:bottom w:val="single" w:sz="8" w:color="auto"/>
            </w:tcBorders>
            <w:gridSpan w:val="2"/>
          </w:tcPr>
          <w:p>
            <w:pPr>
              <w:jc w:val="right"/>
              <w:ind w:right="656"/>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6"/>
              </w:rPr>
              <w:t>2022</w:t>
            </w:r>
          </w:p>
        </w:tc>
      </w:tr>
      <w:tr>
        <w:trPr>
          <w:trHeight w:val="236"/>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term (in years)</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0.50</w:t>
            </w: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jc w:val="center"/>
              <w:ind w:right="494"/>
              <w:spacing w:after="0"/>
              <w:rPr>
                <w:sz w:val="20"/>
                <w:szCs w:val="20"/>
                <w:color w:val="auto"/>
              </w:rPr>
            </w:pPr>
            <w:r>
              <w:rPr>
                <w:rFonts w:ascii="Arial" w:cs="Arial" w:eastAsia="Arial" w:hAnsi="Arial"/>
                <w:sz w:val="18"/>
                <w:szCs w:val="18"/>
                <w:color w:val="auto"/>
                <w:w w:val="85"/>
              </w:rPr>
              <w:t>0.50</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0.50</w:t>
            </w: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40" w:type="dxa"/>
            <w:vAlign w:val="bottom"/>
            <w:shd w:val="clear" w:color="auto" w:fill="CFF0FC"/>
          </w:tcPr>
          <w:p>
            <w:pPr>
              <w:jc w:val="center"/>
              <w:ind w:right="454"/>
              <w:spacing w:after="0"/>
              <w:rPr>
                <w:sz w:val="20"/>
                <w:szCs w:val="20"/>
                <w:color w:val="auto"/>
              </w:rPr>
            </w:pPr>
            <w:r>
              <w:rPr>
                <w:rFonts w:ascii="Arial" w:cs="Arial" w:eastAsia="Arial" w:hAnsi="Arial"/>
                <w:sz w:val="18"/>
                <w:szCs w:val="18"/>
                <w:color w:val="auto"/>
                <w:w w:val="85"/>
              </w:rPr>
              <w:t>0.50</w:t>
            </w:r>
          </w:p>
        </w:tc>
      </w:tr>
      <w:tr>
        <w:trPr>
          <w:trHeight w:val="263"/>
        </w:trPr>
        <w:tc>
          <w:tcPr>
            <w:tcW w:w="358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820" w:type="dxa"/>
            <w:vAlign w:val="bottom"/>
          </w:tcPr>
          <w:p>
            <w:pPr>
              <w:jc w:val="right"/>
              <w:spacing w:after="0"/>
              <w:rPr>
                <w:sz w:val="20"/>
                <w:szCs w:val="20"/>
                <w:color w:val="auto"/>
              </w:rPr>
            </w:pPr>
            <w:r>
              <w:rPr>
                <w:rFonts w:ascii="Arial" w:cs="Arial" w:eastAsia="Arial" w:hAnsi="Arial"/>
                <w:sz w:val="18"/>
                <w:szCs w:val="18"/>
                <w:color w:val="auto"/>
              </w:rPr>
              <w:t>66.72%</w:t>
            </w: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20"/>
              <w:spacing w:after="0"/>
              <w:rPr>
                <w:sz w:val="20"/>
                <w:szCs w:val="20"/>
                <w:color w:val="auto"/>
              </w:rPr>
            </w:pPr>
            <w:r>
              <w:rPr>
                <w:rFonts w:ascii="Arial" w:cs="Arial" w:eastAsia="Arial" w:hAnsi="Arial"/>
                <w:sz w:val="18"/>
                <w:szCs w:val="18"/>
                <w:color w:val="auto"/>
              </w:rPr>
              <w:t>97.38%</w:t>
            </w: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0" w:type="dxa"/>
            <w:vAlign w:val="bottom"/>
          </w:tcPr>
          <w:p>
            <w:pPr>
              <w:jc w:val="center"/>
              <w:ind w:right="494"/>
              <w:spacing w:after="0"/>
              <w:rPr>
                <w:sz w:val="20"/>
                <w:szCs w:val="20"/>
                <w:color w:val="auto"/>
              </w:rPr>
            </w:pPr>
            <w:r>
              <w:rPr>
                <w:rFonts w:ascii="Arial" w:cs="Arial" w:eastAsia="Arial" w:hAnsi="Arial"/>
                <w:sz w:val="18"/>
                <w:szCs w:val="18"/>
                <w:color w:val="auto"/>
                <w:w w:val="88"/>
              </w:rPr>
              <w:t>76.50%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66.72%</w:t>
            </w:r>
          </w:p>
        </w:tc>
        <w:tc>
          <w:tcPr>
            <w:tcW w:w="1640" w:type="dxa"/>
            <w:vAlign w:val="bottom"/>
            <w:gridSpan w:val="3"/>
          </w:tcPr>
          <w:p>
            <w:pPr>
              <w:ind w:left="20"/>
              <w:spacing w:after="0"/>
              <w:rPr>
                <w:sz w:val="20"/>
                <w:szCs w:val="20"/>
                <w:color w:val="auto"/>
              </w:rPr>
            </w:pPr>
            <w:r>
              <w:rPr>
                <w:rFonts w:ascii="Arial" w:cs="Arial" w:eastAsia="Arial" w:hAnsi="Arial"/>
                <w:sz w:val="18"/>
                <w:szCs w:val="18"/>
                <w:color w:val="auto"/>
              </w:rPr>
              <w:t>– 97.38%</w:t>
            </w:r>
          </w:p>
        </w:tc>
        <w:tc>
          <w:tcPr>
            <w:tcW w:w="1240" w:type="dxa"/>
            <w:vAlign w:val="bottom"/>
          </w:tcPr>
          <w:p>
            <w:pPr>
              <w:jc w:val="center"/>
              <w:ind w:right="454"/>
              <w:spacing w:after="0"/>
              <w:rPr>
                <w:sz w:val="20"/>
                <w:szCs w:val="20"/>
                <w:color w:val="auto"/>
              </w:rPr>
            </w:pPr>
            <w:r>
              <w:rPr>
                <w:rFonts w:ascii="Arial" w:cs="Arial" w:eastAsia="Arial" w:hAnsi="Arial"/>
                <w:sz w:val="18"/>
                <w:szCs w:val="18"/>
                <w:color w:val="auto"/>
                <w:w w:val="88"/>
              </w:rPr>
              <w:t>76.50%</w:t>
            </w:r>
          </w:p>
        </w:tc>
      </w:tr>
      <w:tr>
        <w:trPr>
          <w:trHeight w:val="250"/>
        </w:trPr>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5.32%</w:t>
            </w:r>
          </w:p>
        </w:tc>
        <w:tc>
          <w:tcPr>
            <w:tcW w:w="14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200" w:type="dxa"/>
            <w:vAlign w:val="bottom"/>
            <w:shd w:val="clear" w:color="auto" w:fill="CFF0FC"/>
          </w:tcPr>
          <w:p>
            <w:pPr>
              <w:jc w:val="center"/>
              <w:ind w:right="494"/>
              <w:spacing w:after="0"/>
              <w:rPr>
                <w:sz w:val="20"/>
                <w:szCs w:val="20"/>
                <w:color w:val="auto"/>
              </w:rPr>
            </w:pPr>
            <w:r>
              <w:rPr>
                <w:rFonts w:ascii="Arial" w:cs="Arial" w:eastAsia="Arial" w:hAnsi="Arial"/>
                <w:sz w:val="18"/>
                <w:szCs w:val="18"/>
                <w:color w:val="auto"/>
                <w:w w:val="90"/>
              </w:rPr>
              <w:t>1.51%</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164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 5.32%</w:t>
            </w:r>
          </w:p>
        </w:tc>
        <w:tc>
          <w:tcPr>
            <w:tcW w:w="1240" w:type="dxa"/>
            <w:vAlign w:val="bottom"/>
            <w:shd w:val="clear" w:color="auto" w:fill="CFF0FC"/>
          </w:tcPr>
          <w:p>
            <w:pPr>
              <w:jc w:val="center"/>
              <w:ind w:right="454"/>
              <w:spacing w:after="0"/>
              <w:rPr>
                <w:sz w:val="20"/>
                <w:szCs w:val="20"/>
                <w:color w:val="auto"/>
              </w:rPr>
            </w:pPr>
            <w:r>
              <w:rPr>
                <w:rFonts w:ascii="Arial" w:cs="Arial" w:eastAsia="Arial" w:hAnsi="Arial"/>
                <w:sz w:val="18"/>
                <w:szCs w:val="18"/>
                <w:color w:val="auto"/>
                <w:w w:val="90"/>
              </w:rPr>
              <w:t>1.51%</w:t>
            </w:r>
          </w:p>
        </w:tc>
      </w:tr>
      <w:tr>
        <w:trPr>
          <w:trHeight w:val="257"/>
        </w:trPr>
        <w:tc>
          <w:tcPr>
            <w:tcW w:w="35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820" w:type="dxa"/>
            <w:vAlign w:val="bottom"/>
          </w:tcPr>
          <w:p>
            <w:pPr>
              <w:spacing w:after="0"/>
              <w:rPr>
                <w:sz w:val="22"/>
                <w:szCs w:val="22"/>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0" w:type="dxa"/>
            <w:vAlign w:val="bottom"/>
          </w:tcPr>
          <w:p>
            <w:pPr>
              <w:jc w:val="center"/>
              <w:ind w:right="49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4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right="454"/>
              <w:spacing w:after="0"/>
              <w:rPr>
                <w:sz w:val="20"/>
                <w:szCs w:val="20"/>
                <w:color w:val="auto"/>
              </w:rPr>
            </w:pPr>
            <w:r>
              <w:rPr>
                <w:rFonts w:ascii="Arial" w:cs="Arial" w:eastAsia="Arial" w:hAnsi="Arial"/>
                <w:sz w:val="18"/>
                <w:szCs w:val="18"/>
                <w:color w:val="auto"/>
                <w:w w:val="99"/>
              </w:rPr>
              <w: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stock-based compensation expense by function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5"/>
        </w:trPr>
        <w:tc>
          <w:tcPr>
            <w:tcW w:w="4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69"/>
        </w:trPr>
        <w:tc>
          <w:tcPr>
            <w:tcW w:w="47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6"/>
              </w:rPr>
              <w:t>2022</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FF0FC"/>
          </w:tcPr>
          <w:p>
            <w:pPr>
              <w:spacing w:after="0"/>
              <w:rPr>
                <w:sz w:val="20"/>
                <w:szCs w:val="20"/>
                <w:color w:val="auto"/>
              </w:rPr>
            </w:pPr>
          </w:p>
        </w:tc>
      </w:tr>
      <w:tr>
        <w:trPr>
          <w:trHeight w:val="237"/>
        </w:trPr>
        <w:tc>
          <w:tcPr>
            <w:tcW w:w="47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1,115</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Pr>
          <w:p>
            <w:pPr>
              <w:spacing w:after="0"/>
              <w:rPr>
                <w:sz w:val="20"/>
                <w:szCs w:val="20"/>
                <w:color w:val="auto"/>
              </w:rPr>
            </w:pPr>
          </w:p>
        </w:tc>
      </w:tr>
      <w:tr>
        <w:trPr>
          <w:trHeight w:val="243"/>
        </w:trPr>
        <w:tc>
          <w:tcPr>
            <w:tcW w:w="4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3,084</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3,080</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6,020</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5,675</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4740" w:type="dxa"/>
            <w:vAlign w:val="bottom"/>
          </w:tcPr>
          <w:p>
            <w:pPr>
              <w:ind w:left="20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3,742</w:t>
            </w:r>
          </w:p>
        </w:tc>
        <w:tc>
          <w:tcPr>
            <w:tcW w:w="8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3,532</w:t>
            </w:r>
          </w:p>
        </w:tc>
        <w:tc>
          <w:tcPr>
            <w:tcW w:w="5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7,265</w:t>
            </w:r>
          </w:p>
        </w:tc>
        <w:tc>
          <w:tcPr>
            <w:tcW w:w="7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6,506</w:t>
            </w:r>
          </w:p>
        </w:tc>
        <w:tc>
          <w:tcPr>
            <w:tcW w:w="140" w:type="dxa"/>
            <w:vAlign w:val="bottom"/>
          </w:tcPr>
          <w:p>
            <w:pPr>
              <w:spacing w:after="0"/>
              <w:rPr>
                <w:sz w:val="20"/>
                <w:szCs w:val="20"/>
                <w:color w:val="auto"/>
              </w:rPr>
            </w:pPr>
          </w:p>
        </w:tc>
      </w:tr>
      <w:tr>
        <w:trPr>
          <w:trHeight w:val="20"/>
        </w:trPr>
        <w:tc>
          <w:tcPr>
            <w:tcW w:w="47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-187960</wp:posOffset>
            </wp:positionV>
            <wp:extent cx="85725" cy="1885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-187960</wp:posOffset>
            </wp:positionV>
            <wp:extent cx="85725" cy="1885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85725" cy="1885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Net Loss per Share Attributable to Common Stockholders</w:t>
      </w:r>
    </w:p>
    <w:p>
      <w:pPr>
        <w:spacing w:after="0" w:line="121"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Basic net loss per share is computed by dividing the net loss by the weighted-average number of common shares outstanding for the period. As the Company reported a net loss for the three and six months ended June 30, 2023 and 2022, basic net loss per share is the same as diluted net loss per share for each of the reported periods.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right="120" w:firstLine="509"/>
        <w:spacing w:after="0" w:line="277" w:lineRule="auto"/>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 for the periods presented (in thousands, except share and per share data):</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w w:val="89"/>
              </w:rPr>
              <w:t>2022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Numerator:</w:t>
            </w: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20" w:type="dxa"/>
            <w:vAlign w:val="bottom"/>
          </w:tcPr>
          <w:p>
            <w:pPr>
              <w:ind w:left="20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(14,754 )</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(23,843 )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(31,821 )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(47,106 )</w:t>
            </w:r>
          </w:p>
        </w:tc>
        <w:tc>
          <w:tcPr>
            <w:tcW w:w="0" w:type="dxa"/>
            <w:vAlign w:val="bottom"/>
          </w:tcPr>
          <w:p>
            <w:pPr>
              <w:spacing w:after="0"/>
              <w:rPr>
                <w:sz w:val="1"/>
                <w:szCs w:val="1"/>
                <w:color w:val="auto"/>
              </w:rPr>
            </w:pPr>
          </w:p>
        </w:tc>
      </w:tr>
      <w:tr>
        <w:trPr>
          <w:trHeight w:val="249"/>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Denominator:</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20" w:type="dxa"/>
            <w:vAlign w:val="bottom"/>
          </w:tcPr>
          <w:p>
            <w:pPr>
              <w:ind w:left="200"/>
              <w:spacing w:after="0"/>
              <w:rPr>
                <w:sz w:val="20"/>
                <w:szCs w:val="20"/>
                <w:color w:val="auto"/>
              </w:rPr>
            </w:pPr>
            <w:r>
              <w:rPr>
                <w:rFonts w:ascii="Arial" w:cs="Arial" w:eastAsia="Arial" w:hAnsi="Arial"/>
                <w:sz w:val="18"/>
                <w:szCs w:val="18"/>
                <w:color w:val="auto"/>
              </w:rPr>
              <w:t>Weighted-average shares of common stock</w:t>
            </w:r>
          </w:p>
        </w:tc>
        <w:tc>
          <w:tcPr>
            <w:tcW w:w="3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48,536,310</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88"/>
              </w:rPr>
              <w:t>47,701,451</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48,471,153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w w:val="95"/>
              </w:rPr>
              <w:t>47,635,840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340"/>
              <w:spacing w:after="0"/>
              <w:rPr>
                <w:sz w:val="20"/>
                <w:szCs w:val="20"/>
                <w:color w:val="auto"/>
              </w:rPr>
            </w:pPr>
            <w:r>
              <w:rPr>
                <w:rFonts w:ascii="Arial" w:cs="Arial" w:eastAsia="Arial" w:hAnsi="Arial"/>
                <w:sz w:val="18"/>
                <w:szCs w:val="18"/>
                <w:color w:val="auto"/>
              </w:rPr>
              <w:t>outstanding—basic and diluted</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per share attributable to common</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8"/>
                <w:szCs w:val="18"/>
                <w:color w:val="auto"/>
              </w:rPr>
              <w:t>(0.30 )</w:t>
            </w:r>
          </w:p>
        </w:tc>
        <w:tc>
          <w:tcPr>
            <w:tcW w:w="500" w:type="dxa"/>
            <w:vAlign w:val="bottom"/>
            <w:vMerge w:val="restart"/>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(0.50 )</w:t>
            </w:r>
          </w:p>
        </w:tc>
        <w:tc>
          <w:tcPr>
            <w:tcW w:w="32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(0.66 )</w:t>
            </w:r>
          </w:p>
        </w:tc>
        <w:tc>
          <w:tcPr>
            <w:tcW w:w="460" w:type="dxa"/>
            <w:vAlign w:val="bottom"/>
            <w:vMerge w:val="restart"/>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(0.99 )</w:t>
            </w: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stockholders—basic and diluted</w:t>
            </w:r>
          </w:p>
        </w:tc>
        <w:tc>
          <w:tcPr>
            <w:tcW w:w="320" w:type="dxa"/>
            <w:vAlign w:val="bottom"/>
            <w:vMerge w:val="continue"/>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320" w:type="dxa"/>
            <w:vAlign w:val="bottom"/>
            <w:vMerge w:val="continue"/>
            <w:shd w:val="clear" w:color="auto" w:fill="CFF0FC"/>
          </w:tcPr>
          <w:p>
            <w:pPr>
              <w:spacing w:after="0"/>
              <w:rPr>
                <w:sz w:val="19"/>
                <w:szCs w:val="19"/>
                <w:color w:val="auto"/>
              </w:rPr>
            </w:pPr>
          </w:p>
        </w:tc>
        <w:tc>
          <w:tcPr>
            <w:tcW w:w="1340" w:type="dxa"/>
            <w:vAlign w:val="bottom"/>
            <w:gridSpan w:val="2"/>
            <w:vMerge w:val="continue"/>
            <w:shd w:val="clear" w:color="auto" w:fill="CFF0FC"/>
          </w:tcPr>
          <w:p>
            <w:pPr>
              <w:spacing w:after="0"/>
              <w:rPr>
                <w:sz w:val="19"/>
                <w:szCs w:val="19"/>
                <w:color w:val="auto"/>
              </w:rPr>
            </w:pPr>
          </w:p>
        </w:tc>
        <w:tc>
          <w:tcPr>
            <w:tcW w:w="460" w:type="dxa"/>
            <w:vAlign w:val="bottom"/>
            <w:vMerge w:val="continue"/>
            <w:shd w:val="clear" w:color="auto" w:fill="CFF0FC"/>
          </w:tcPr>
          <w:p>
            <w:pPr>
              <w:spacing w:after="0"/>
              <w:rPr>
                <w:sz w:val="19"/>
                <w:szCs w:val="19"/>
                <w:color w:val="auto"/>
              </w:rPr>
            </w:pPr>
          </w:p>
        </w:tc>
        <w:tc>
          <w:tcPr>
            <w:tcW w:w="10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-25400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-8255</wp:posOffset>
            </wp:positionV>
            <wp:extent cx="857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-25400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857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857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-25400</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90"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attributable to common stockholders for the period presented because including them would have been antidilutive as a result of the net loss position:</w:t>
      </w:r>
    </w:p>
    <w:p>
      <w:pPr>
        <w:spacing w:after="0" w:line="310" w:lineRule="exact"/>
        <w:rPr>
          <w:sz w:val="20"/>
          <w:szCs w:val="20"/>
          <w:color w:val="auto"/>
        </w:rPr>
      </w:pPr>
    </w:p>
    <w:p>
      <w:pPr>
        <w:ind w:left="8920"/>
        <w:spacing w:after="0"/>
        <w:rPr>
          <w:sz w:val="20"/>
          <w:szCs w:val="20"/>
          <w:color w:val="auto"/>
        </w:rPr>
      </w:pPr>
      <w:r>
        <w:rPr>
          <w:rFonts w:ascii="Arial" w:cs="Arial" w:eastAsia="Arial" w:hAnsi="Arial"/>
          <w:sz w:val="14"/>
          <w:szCs w:val="14"/>
          <w:b w:val="1"/>
          <w:bCs w:val="1"/>
          <w:color w:val="auto"/>
        </w:rPr>
        <w:t>June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40" w:type="dxa"/>
            <w:vAlign w:val="bottom"/>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top w:val="single" w:sz="8" w:color="auto"/>
            </w:tcBorders>
          </w:tcPr>
          <w:p>
            <w:pPr>
              <w:spacing w:after="0"/>
              <w:rPr>
                <w:sz w:val="14"/>
                <w:szCs w:val="14"/>
                <w:color w:val="auto"/>
              </w:rPr>
            </w:pPr>
          </w:p>
        </w:tc>
        <w:tc>
          <w:tcPr>
            <w:tcW w:w="2080" w:type="dxa"/>
            <w:vAlign w:val="bottom"/>
            <w:tcBorders>
              <w:top w:val="single" w:sz="8" w:color="auto"/>
            </w:tcBorders>
            <w:gridSpan w:val="2"/>
          </w:tcPr>
          <w:p>
            <w:pPr>
              <w:jc w:val="right"/>
              <w:ind w:right="65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37"/>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 awards</w:t>
            </w:r>
          </w:p>
        </w:tc>
        <w:tc>
          <w:tcPr>
            <w:tcW w:w="1040" w:type="dxa"/>
            <w:vAlign w:val="bottom"/>
            <w:tcBorders>
              <w:top w:val="single" w:sz="8" w:color="auto"/>
            </w:tcBorders>
            <w:shd w:val="clear" w:color="auto" w:fill="CFF0FC"/>
          </w:tcPr>
          <w:p>
            <w:pPr>
              <w:spacing w:after="0"/>
              <w:rPr>
                <w:sz w:val="20"/>
                <w:szCs w:val="20"/>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4,869,644</w:t>
            </w:r>
          </w:p>
        </w:tc>
        <w:tc>
          <w:tcPr>
            <w:tcW w:w="300" w:type="dxa"/>
            <w:vAlign w:val="bottom"/>
            <w:shd w:val="clear" w:color="auto" w:fill="CFF0FC"/>
          </w:tcPr>
          <w:p>
            <w:pPr>
              <w:spacing w:after="0"/>
              <w:rPr>
                <w:sz w:val="20"/>
                <w:szCs w:val="20"/>
                <w:color w:val="auto"/>
              </w:rPr>
            </w:pPr>
          </w:p>
        </w:tc>
        <w:tc>
          <w:tcPr>
            <w:tcW w:w="1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5,709,691</w:t>
            </w:r>
          </w:p>
        </w:tc>
        <w:tc>
          <w:tcPr>
            <w:tcW w:w="140" w:type="dxa"/>
            <w:vAlign w:val="bottom"/>
            <w:shd w:val="clear" w:color="auto" w:fill="CFF0FC"/>
          </w:tcPr>
          <w:p>
            <w:pPr>
              <w:spacing w:after="0"/>
              <w:rPr>
                <w:sz w:val="20"/>
                <w:szCs w:val="20"/>
                <w:color w:val="auto"/>
              </w:rPr>
            </w:pPr>
          </w:p>
        </w:tc>
      </w:tr>
      <w:tr>
        <w:trPr>
          <w:trHeight w:val="237"/>
        </w:trPr>
        <w:tc>
          <w:tcPr>
            <w:tcW w:w="8280" w:type="dxa"/>
            <w:vAlign w:val="bottom"/>
            <w:gridSpan w:val="2"/>
          </w:tcPr>
          <w:p>
            <w:pPr>
              <w:ind w:left="20"/>
              <w:spacing w:after="0"/>
              <w:rPr>
                <w:sz w:val="20"/>
                <w:szCs w:val="20"/>
                <w:color w:val="auto"/>
              </w:rPr>
            </w:pPr>
            <w:r>
              <w:rPr>
                <w:rFonts w:ascii="Arial" w:cs="Arial" w:eastAsia="Arial" w:hAnsi="Arial"/>
                <w:sz w:val="18"/>
                <w:szCs w:val="18"/>
                <w:color w:val="auto"/>
              </w:rPr>
              <w:t>Restricted stock units</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1,906,435</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766,598</w:t>
            </w:r>
          </w:p>
        </w:tc>
        <w:tc>
          <w:tcPr>
            <w:tcW w:w="140" w:type="dxa"/>
            <w:vAlign w:val="bottom"/>
          </w:tcPr>
          <w:p>
            <w:pPr>
              <w:spacing w:after="0"/>
              <w:rPr>
                <w:sz w:val="20"/>
                <w:szCs w:val="20"/>
                <w:color w:val="auto"/>
              </w:rPr>
            </w:pPr>
          </w:p>
        </w:tc>
      </w:tr>
      <w:tr>
        <w:trPr>
          <w:trHeight w:val="276"/>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FF0FC"/>
          </w:tcPr>
          <w:p>
            <w:pPr>
              <w:spacing w:after="0"/>
              <w:rPr>
                <w:sz w:val="24"/>
                <w:szCs w:val="2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6,776,079</w:t>
            </w:r>
          </w:p>
        </w:tc>
        <w:tc>
          <w:tcPr>
            <w:tcW w:w="300" w:type="dxa"/>
            <w:vAlign w:val="bottom"/>
            <w:tcBorders>
              <w:bottom w:val="single" w:sz="8" w:color="CFF0FC"/>
            </w:tcBorders>
            <w:shd w:val="clear" w:color="auto" w:fill="CFF0FC"/>
          </w:tcPr>
          <w:p>
            <w:pPr>
              <w:spacing w:after="0"/>
              <w:rPr>
                <w:sz w:val="24"/>
                <w:szCs w:val="24"/>
                <w:color w:val="auto"/>
              </w:rPr>
            </w:pPr>
          </w:p>
        </w:tc>
        <w:tc>
          <w:tcPr>
            <w:tcW w:w="1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6,476,289</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-24765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-7620</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10. Segment Information</w:t>
      </w:r>
    </w:p>
    <w:p>
      <w:pPr>
        <w:spacing w:after="0" w:line="121" w:lineRule="exact"/>
        <w:rPr>
          <w:sz w:val="20"/>
          <w:szCs w:val="20"/>
          <w:color w:val="auto"/>
        </w:rPr>
      </w:pPr>
    </w:p>
    <w:p>
      <w:pPr>
        <w:ind w:right="180" w:firstLine="509"/>
        <w:spacing w:after="0" w:line="259" w:lineRule="auto"/>
        <w:rPr>
          <w:sz w:val="20"/>
          <w:szCs w:val="20"/>
          <w:color w:val="auto"/>
        </w:rPr>
      </w:pPr>
      <w:r>
        <w:rPr>
          <w:rFonts w:ascii="Arial" w:cs="Arial" w:eastAsia="Arial" w:hAnsi="Arial"/>
          <w:sz w:val="18"/>
          <w:szCs w:val="18"/>
          <w:color w:val="auto"/>
        </w:rPr>
        <w:t>The Company has two reportable operating segments which are determined on the basis of the product portfolio: Surgical Glaucoma and Dry Eye. The operating and reportable segments were determined based on how the Company’s Chief Executive Officer, its Chief Operating Decision Maker (“CODM”), views and evaluates the Company’s operations. The CODM allocates resources to and evaluates the financial performance of each operating segment primarily based on gross profit and gross profit margin.</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Surgical Glaucoma segment includes sales of the Company’s OMNI® Surgical System and SION</w:t>
      </w:r>
      <w:r>
        <w:rPr>
          <w:rFonts w:ascii="Arial" w:cs="Arial" w:eastAsia="Arial" w:hAnsi="Arial"/>
          <w:sz w:val="24"/>
          <w:szCs w:val="24"/>
          <w:color w:val="auto"/>
          <w:vertAlign w:val="superscript"/>
        </w:rPr>
        <w:t>TM</w:t>
      </w:r>
      <w:r>
        <w:rPr>
          <w:rFonts w:ascii="Arial" w:cs="Arial" w:eastAsia="Arial" w:hAnsi="Arial"/>
          <w:sz w:val="18"/>
          <w:szCs w:val="18"/>
          <w:color w:val="auto"/>
        </w:rPr>
        <w:t xml:space="preserve"> Surgical Instrument for use in minimally</w:t>
      </w:r>
    </w:p>
    <w:p>
      <w:pPr>
        <w:ind w:right="40"/>
        <w:spacing w:after="0" w:line="258" w:lineRule="auto"/>
        <w:rPr>
          <w:sz w:val="20"/>
          <w:szCs w:val="20"/>
          <w:color w:val="auto"/>
        </w:rPr>
      </w:pPr>
      <w:r>
        <w:rPr>
          <w:rFonts w:ascii="Arial" w:cs="Arial" w:eastAsia="Arial" w:hAnsi="Arial"/>
          <w:sz w:val="18"/>
          <w:szCs w:val="18"/>
          <w:color w:val="auto"/>
        </w:rPr>
        <w:t>invasive glaucoma procedures. Dry Eye segment includes sales of the Company’s TearCare® System and related components and accessories for use in the treatment of dry eye disease.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0" w:name="page21"/>
    <w:bookmarkEnd w:id="20"/>
    <w:p>
      <w:pPr>
        <w:ind w:left="520"/>
        <w:spacing w:after="0"/>
        <w:rPr>
          <w:sz w:val="20"/>
          <w:szCs w:val="20"/>
          <w:color w:val="auto"/>
        </w:rPr>
      </w:pPr>
      <w:r>
        <w:rPr>
          <w:rFonts w:ascii="Arial" w:cs="Arial" w:eastAsia="Arial" w:hAnsi="Arial"/>
          <w:sz w:val="18"/>
          <w:szCs w:val="18"/>
          <w:color w:val="auto"/>
        </w:rPr>
        <w:t>The following table summarizes select operating results information for each reportable segment (in thousands):</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46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6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3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w w:val="96"/>
              </w:rPr>
              <w:t>2022</w:t>
            </w:r>
          </w:p>
        </w:tc>
        <w:tc>
          <w:tcPr>
            <w:tcW w:w="3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r>
      <w:tr>
        <w:trPr>
          <w:trHeight w:val="237"/>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21,398</w:t>
            </w:r>
          </w:p>
        </w:tc>
        <w:tc>
          <w:tcPr>
            <w:tcW w:w="3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15,899</w:t>
            </w:r>
          </w:p>
        </w:tc>
        <w:tc>
          <w:tcPr>
            <w:tcW w:w="3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38,733</w:t>
            </w:r>
          </w:p>
        </w:tc>
        <w:tc>
          <w:tcPr>
            <w:tcW w:w="28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29,770</w:t>
            </w:r>
          </w:p>
        </w:tc>
        <w:tc>
          <w:tcPr>
            <w:tcW w:w="120" w:type="dxa"/>
            <w:vAlign w:val="bottom"/>
          </w:tcPr>
          <w:p>
            <w:pPr>
              <w:spacing w:after="0"/>
              <w:rPr>
                <w:sz w:val="20"/>
                <w:szCs w:val="20"/>
                <w:color w:val="auto"/>
              </w:rPr>
            </w:pPr>
          </w:p>
        </w:tc>
      </w:tr>
      <w:tr>
        <w:trPr>
          <w:trHeight w:val="243"/>
        </w:trPr>
        <w:tc>
          <w:tcPr>
            <w:tcW w:w="4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1,330</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3,563</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2,341</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6"/>
        </w:trPr>
        <w:tc>
          <w:tcPr>
            <w:tcW w:w="466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23,471</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17,229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42,296</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32,111</w:t>
            </w:r>
          </w:p>
        </w:tc>
        <w:tc>
          <w:tcPr>
            <w:tcW w:w="120" w:type="dxa"/>
            <w:vAlign w:val="bottom"/>
          </w:tcPr>
          <w:p>
            <w:pPr>
              <w:spacing w:after="0"/>
              <w:rPr>
                <w:sz w:val="20"/>
                <w:szCs w:val="20"/>
                <w:color w:val="auto"/>
              </w:rPr>
            </w:pPr>
          </w:p>
        </w:tc>
      </w:tr>
      <w:tr>
        <w:trPr>
          <w:trHeight w:val="24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Cost of goods sold</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2,444</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1,949</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4,806</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20"/>
                <w:szCs w:val="20"/>
                <w:color w:val="auto"/>
              </w:rPr>
            </w:pPr>
          </w:p>
        </w:tc>
      </w:tr>
      <w:tr>
        <w:trPr>
          <w:trHeight w:val="243"/>
        </w:trPr>
        <w:tc>
          <w:tcPr>
            <w:tcW w:w="4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3,381</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2,736</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6,429</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5,768</w:t>
            </w:r>
          </w:p>
        </w:tc>
        <w:tc>
          <w:tcPr>
            <w:tcW w:w="120" w:type="dxa"/>
            <w:vAlign w:val="bottom"/>
          </w:tcPr>
          <w:p>
            <w:pPr>
              <w:spacing w:after="0"/>
              <w:rPr>
                <w:sz w:val="20"/>
                <w:szCs w:val="20"/>
                <w:color w:val="auto"/>
              </w:rPr>
            </w:pPr>
          </w:p>
        </w:tc>
      </w:tr>
      <w:tr>
        <w:trPr>
          <w:trHeight w:val="249"/>
        </w:trPr>
        <w:tc>
          <w:tcPr>
            <w:tcW w:w="4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18,954</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13,950</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33,927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26,330</w:t>
            </w:r>
          </w:p>
        </w:tc>
        <w:tc>
          <w:tcPr>
            <w:tcW w:w="120" w:type="dxa"/>
            <w:vAlign w:val="bottom"/>
          </w:tcPr>
          <w:p>
            <w:pPr>
              <w:spacing w:after="0"/>
              <w:rPr>
                <w:sz w:val="20"/>
                <w:szCs w:val="20"/>
                <w:color w:val="auto"/>
              </w:rPr>
            </w:pPr>
          </w:p>
        </w:tc>
      </w:tr>
      <w:tr>
        <w:trPr>
          <w:trHeight w:val="243"/>
        </w:trPr>
        <w:tc>
          <w:tcPr>
            <w:tcW w:w="4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1,940</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20,090</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14,493</w:t>
            </w: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35,867</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26,343</w:t>
            </w:r>
          </w:p>
        </w:tc>
        <w:tc>
          <w:tcPr>
            <w:tcW w:w="120" w:type="dxa"/>
            <w:vAlign w:val="bottom"/>
          </w:tcPr>
          <w:p>
            <w:pPr>
              <w:spacing w:after="0"/>
              <w:rPr>
                <w:sz w:val="20"/>
                <w:szCs w:val="20"/>
                <w:color w:val="auto"/>
              </w:rPr>
            </w:pPr>
          </w:p>
        </w:tc>
      </w:tr>
      <w:tr>
        <w:trPr>
          <w:trHeight w:val="243"/>
        </w:trPr>
        <w:tc>
          <w:tcPr>
            <w:tcW w:w="46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expense</w:t>
            </w: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35,277</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37,357</w:t>
            </w:r>
          </w:p>
        </w:tc>
        <w:tc>
          <w:tcPr>
            <w:tcW w:w="3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68,621</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71,399</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9"/>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320" w:type="dxa"/>
            <w:vAlign w:val="bottom"/>
          </w:tcPr>
          <w:p>
            <w:pPr>
              <w:spacing w:after="0"/>
              <w:rPr>
                <w:sz w:val="20"/>
                <w:szCs w:val="20"/>
                <w:color w:val="auto"/>
              </w:rPr>
            </w:pPr>
          </w:p>
        </w:tc>
        <w:tc>
          <w:tcPr>
            <w:tcW w:w="1340" w:type="dxa"/>
            <w:vAlign w:val="bottom"/>
            <w:gridSpan w:val="2"/>
          </w:tcPr>
          <w:p>
            <w:pPr>
              <w:jc w:val="right"/>
              <w:ind w:right="161"/>
              <w:spacing w:after="0"/>
              <w:rPr>
                <w:sz w:val="20"/>
                <w:szCs w:val="20"/>
                <w:color w:val="auto"/>
              </w:rPr>
            </w:pPr>
            <w:r>
              <w:rPr>
                <w:rFonts w:ascii="Arial" w:cs="Arial" w:eastAsia="Arial" w:hAnsi="Arial"/>
                <w:sz w:val="18"/>
                <w:szCs w:val="18"/>
                <w:color w:val="auto"/>
              </w:rPr>
              <w:t xml:space="preserve">(15,187 </w:t>
            </w:r>
            <w:r>
              <w:rPr>
                <w:rFonts w:ascii="Arial" w:cs="Arial" w:eastAsia="Arial" w:hAnsi="Arial"/>
                <w:sz w:val="18"/>
                <w:szCs w:val="18"/>
                <w:color w:val="auto"/>
                <w:highlight w:val="white"/>
              </w:rPr>
              <w:t>)</w:t>
            </w:r>
          </w:p>
        </w:tc>
        <w:tc>
          <w:tcPr>
            <w:tcW w:w="500" w:type="dxa"/>
            <w:vAlign w:val="bottom"/>
          </w:tcPr>
          <w:p>
            <w:pPr>
              <w:spacing w:after="0"/>
              <w:rPr>
                <w:sz w:val="20"/>
                <w:szCs w:val="20"/>
                <w:color w:val="auto"/>
              </w:rPr>
            </w:pPr>
          </w:p>
        </w:tc>
        <w:tc>
          <w:tcPr>
            <w:tcW w:w="1160" w:type="dxa"/>
            <w:vAlign w:val="bottom"/>
            <w:gridSpan w:val="2"/>
          </w:tcPr>
          <w:p>
            <w:pPr>
              <w:jc w:val="right"/>
              <w:ind w:right="150"/>
              <w:spacing w:after="0"/>
              <w:rPr>
                <w:sz w:val="20"/>
                <w:szCs w:val="20"/>
                <w:color w:val="auto"/>
              </w:rPr>
            </w:pPr>
            <w:r>
              <w:rPr>
                <w:rFonts w:ascii="Arial" w:cs="Arial" w:eastAsia="Arial" w:hAnsi="Arial"/>
                <w:sz w:val="18"/>
                <w:szCs w:val="18"/>
                <w:color w:val="auto"/>
              </w:rPr>
              <w:t>(22,864 )</w:t>
            </w:r>
          </w:p>
        </w:tc>
        <w:tc>
          <w:tcPr>
            <w:tcW w:w="320" w:type="dxa"/>
            <w:vAlign w:val="bottom"/>
          </w:tcPr>
          <w:p>
            <w:pPr>
              <w:spacing w:after="0"/>
              <w:rPr>
                <w:sz w:val="20"/>
                <w:szCs w:val="20"/>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(32,754 )</w:t>
            </w:r>
          </w:p>
        </w:tc>
        <w:tc>
          <w:tcPr>
            <w:tcW w:w="48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(45,056 )</w:t>
            </w:r>
          </w:p>
        </w:tc>
      </w:tr>
      <w:tr>
        <w:trPr>
          <w:trHeight w:val="247"/>
        </w:trPr>
        <w:tc>
          <w:tcPr>
            <w:tcW w:w="4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(1,349 )</w:t>
            </w:r>
          </w:p>
        </w:tc>
        <w:tc>
          <w:tcPr>
            <w:tcW w:w="50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(1,065 )</w:t>
            </w:r>
          </w:p>
        </w:tc>
        <w:tc>
          <w:tcPr>
            <w:tcW w:w="3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(2,625 )</w:t>
            </w:r>
          </w:p>
        </w:tc>
        <w:tc>
          <w:tcPr>
            <w:tcW w:w="4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(2,112 )</w:t>
            </w:r>
          </w:p>
        </w:tc>
      </w:tr>
      <w:tr>
        <w:trPr>
          <w:trHeight w:val="237"/>
        </w:trPr>
        <w:tc>
          <w:tcPr>
            <w:tcW w:w="4660" w:type="dxa"/>
            <w:vAlign w:val="bottom"/>
          </w:tcPr>
          <w:p>
            <w:pPr>
              <w:ind w:left="20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w:t>
            </w:r>
          </w:p>
        </w:tc>
        <w:tc>
          <w:tcPr>
            <w:tcW w:w="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r>
      <w:tr>
        <w:trPr>
          <w:trHeight w:val="279"/>
        </w:trPr>
        <w:tc>
          <w:tcPr>
            <w:tcW w:w="4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Loss before income tax</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(14,746</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Arial" w:cs="Arial" w:eastAsia="Arial" w:hAnsi="Arial"/>
                <w:sz w:val="16"/>
                <w:szCs w:val="16"/>
                <w:color w:val="auto"/>
                <w:w w:val="74"/>
              </w:rPr>
              <w:t>)</w:t>
            </w: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(23,834</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(31,799</w:t>
            </w:r>
          </w:p>
        </w:tc>
        <w:tc>
          <w:tcPr>
            <w:tcW w:w="280" w:type="dxa"/>
            <w:vAlign w:val="bottom"/>
            <w:tcBorders>
              <w:bottom w:val="single" w:sz="8" w:color="CFF0FC"/>
            </w:tcBorders>
            <w:shd w:val="clear" w:color="auto" w:fill="CFF0FC"/>
          </w:tcPr>
          <w:p>
            <w:pPr>
              <w:jc w:val="right"/>
              <w:ind w:right="141"/>
              <w:spacing w:after="0"/>
              <w:rPr>
                <w:sz w:val="20"/>
                <w:szCs w:val="20"/>
                <w:color w:val="auto"/>
              </w:rPr>
            </w:pPr>
            <w:r>
              <w:rPr>
                <w:rFonts w:ascii="Arial" w:cs="Arial" w:eastAsia="Arial" w:hAnsi="Arial"/>
                <w:sz w:val="16"/>
                <w:szCs w:val="16"/>
                <w:color w:val="auto"/>
                <w:w w:val="74"/>
              </w:rPr>
              <w:t>)</w:t>
            </w: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(47,088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-2228215</wp:posOffset>
            </wp:positionV>
            <wp:extent cx="76835"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-2228215</wp:posOffset>
            </wp:positionV>
            <wp:extent cx="85725" cy="1631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-2228215</wp:posOffset>
            </wp:positionV>
            <wp:extent cx="85725" cy="1631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-2228215</wp:posOffset>
            </wp:positionV>
            <wp:extent cx="8572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-1602740</wp:posOffset>
            </wp:positionV>
            <wp:extent cx="76835" cy="1631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-1602740</wp:posOffset>
            </wp:positionV>
            <wp:extent cx="85725" cy="1631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-1602740</wp:posOffset>
            </wp:positionV>
            <wp:extent cx="85725" cy="1631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-1602740</wp:posOffset>
            </wp:positionV>
            <wp:extent cx="85725"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-976630</wp:posOffset>
            </wp:positionV>
            <wp:extent cx="76835"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-976630</wp:posOffset>
            </wp:positionV>
            <wp:extent cx="85725"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-976630</wp:posOffset>
            </wp:positionV>
            <wp:extent cx="85725"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-976630</wp:posOffset>
            </wp:positionV>
            <wp:extent cx="85725" cy="16319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-659765</wp:posOffset>
            </wp:positionV>
            <wp:extent cx="85725" cy="1631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-659765</wp:posOffset>
            </wp:positionV>
            <wp:extent cx="85725"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-659765</wp:posOffset>
            </wp:positionV>
            <wp:extent cx="85725" cy="1631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-25400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-25400</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-7620</wp:posOffset>
            </wp:positionV>
            <wp:extent cx="857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-25400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7017385</wp:posOffset>
            </wp:positionH>
            <wp:positionV relativeFrom="paragraph">
              <wp:posOffset>-7620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90"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auto"/>
        </w:rPr>
        <w:t>The Company does not allocate any components of income and expenses beyond revenue and cost of goods sold to the reportable operating segments in its reporting to the CODM. No asset information is provided for reportable operating segments because that information is not reviewed by the CODM on a segment basis. Substantially all of the Company’s revenue is generated from sales in the United States.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 Subsequent Events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evaluated subsequent events through August 7, 2023, the date on which the condensed consolidated financial statements were issued.</w:t>
      </w:r>
    </w:p>
    <w:p>
      <w:pPr>
        <w:spacing w:after="0" w:line="140" w:lineRule="exact"/>
        <w:rPr>
          <w:sz w:val="20"/>
          <w:szCs w:val="20"/>
          <w:color w:val="auto"/>
        </w:rPr>
      </w:pPr>
    </w:p>
    <w:p>
      <w:pPr>
        <w:ind w:right="80" w:firstLine="509"/>
        <w:spacing w:after="0" w:line="342" w:lineRule="auto"/>
        <w:rPr>
          <w:sz w:val="20"/>
          <w:szCs w:val="20"/>
          <w:color w:val="auto"/>
        </w:rPr>
      </w:pPr>
      <w:r>
        <w:rPr>
          <w:rFonts w:ascii="Arial" w:cs="Arial" w:eastAsia="Arial" w:hAnsi="Arial"/>
          <w:sz w:val="16"/>
          <w:szCs w:val="16"/>
          <w:color w:val="auto"/>
        </w:rPr>
        <w:t>On July 21, 2023, the Company paid off and discharged its obligations arising out of the termination of the Revolver agreement, and the agreement terminated. As of this date of termination, the Company had not drawn any portion of the $5.0 million revolving loan under the Revolver agreement.</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in this Quarterly Report and our audited financial statements and related notes disclosed in our 2022 Form 10-K. Certain statements included in this discussion and analysis constitute “forward-looking statements” that are subject to considerable risks and uncertainties. Please see the information under the heading “Special Note Regarding Forward-Looking Statements” in this Quarterly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509"/>
        <w:spacing w:after="0" w:line="279" w:lineRule="auto"/>
        <w:rPr>
          <w:sz w:val="20"/>
          <w:szCs w:val="20"/>
          <w:color w:val="auto"/>
        </w:rPr>
      </w:pPr>
      <w:r>
        <w:rPr>
          <w:rFonts w:ascii="Arial" w:cs="Arial" w:eastAsia="Arial" w:hAnsi="Arial"/>
          <w:sz w:val="17"/>
          <w:szCs w:val="17"/>
          <w:color w:val="231F20"/>
        </w:rPr>
        <w:t>S</w:t>
      </w:r>
      <w:r>
        <w:rPr>
          <w:rFonts w:ascii="Arial" w:cs="Arial" w:eastAsia="Arial" w:hAnsi="Arial"/>
          <w:sz w:val="17"/>
          <w:szCs w:val="17"/>
          <w:color w:val="000000"/>
        </w:rPr>
        <w:t>ight Sciences’ mission is to transform ophthalmology and optometry through the development and commercialization of proprietary devices that</w:t>
      </w:r>
      <w:r>
        <w:rPr>
          <w:rFonts w:ascii="Arial" w:cs="Arial" w:eastAsia="Arial" w:hAnsi="Arial"/>
          <w:sz w:val="17"/>
          <w:szCs w:val="17"/>
          <w:color w:val="231F20"/>
        </w:rPr>
        <w:t xml:space="preserve"> </w:t>
      </w:r>
      <w:r>
        <w:rPr>
          <w:rFonts w:ascii="Arial" w:cs="Arial" w:eastAsia="Arial" w:hAnsi="Arial"/>
          <w:sz w:val="17"/>
          <w:szCs w:val="17"/>
          <w:color w:val="000000"/>
        </w:rPr>
        <w:t>target the underlying causes of the world’s most prevalent eye diseases. We are passionate about improving patients’ lives. Our objective is to develop and market products for use in new treatment paradigms and to create an interventional mindset in eyecare whereby our products may be used in procedures which supplant conventional outdated approaches. Our business philosophy is grounded in the following principles:</w:t>
      </w:r>
    </w:p>
    <w:p>
      <w:pPr>
        <w:spacing w:after="0" w:line="63"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comprehensively understand disease physiology;</w:t>
      </w:r>
    </w:p>
    <w:p>
      <w:pPr>
        <w:spacing w:after="0" w:line="117"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develop products that are intended to restore natural physiological functionality to diseased eyes;</w:t>
      </w:r>
    </w:p>
    <w:p>
      <w:pPr>
        <w:spacing w:after="0" w:line="117" w:lineRule="exact"/>
        <w:rPr>
          <w:rFonts w:ascii="Arial" w:cs="Arial" w:eastAsia="Arial" w:hAnsi="Arial"/>
          <w:sz w:val="18"/>
          <w:szCs w:val="18"/>
          <w:color w:val="231F20"/>
        </w:rPr>
      </w:pPr>
    </w:p>
    <w:p>
      <w:pPr>
        <w:ind w:left="1020" w:right="120" w:hanging="503"/>
        <w:spacing w:after="0" w:line="277"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develop and market products that achieve superior effectiveness versus current treatment paradigms while minimizing complications or side effects;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provide intuitive, patient friendly solutions to ophthalmologists and optometrists; and</w:t>
      </w:r>
    </w:p>
    <w:p>
      <w:pPr>
        <w:spacing w:after="0" w:line="117" w:lineRule="exact"/>
        <w:rPr>
          <w:rFonts w:ascii="Arial" w:cs="Arial" w:eastAsia="Arial" w:hAnsi="Arial"/>
          <w:sz w:val="18"/>
          <w:szCs w:val="18"/>
          <w:color w:val="231F20"/>
        </w:rPr>
      </w:pPr>
    </w:p>
    <w:p>
      <w:pPr>
        <w:ind w:left="1020" w:right="40" w:hanging="503"/>
        <w:spacing w:after="0" w:line="277" w:lineRule="auto"/>
        <w:tabs>
          <w:tab w:leader="none" w:pos="1020" w:val="left"/>
        </w:tabs>
        <w:numPr>
          <w:ilvl w:val="0"/>
          <w:numId w:val="4"/>
        </w:numPr>
        <w:rPr>
          <w:rFonts w:ascii="Arial" w:cs="Arial" w:eastAsia="Arial" w:hAnsi="Arial"/>
          <w:sz w:val="18"/>
          <w:szCs w:val="18"/>
          <w:color w:val="231F20"/>
        </w:rPr>
      </w:pPr>
      <w:r>
        <w:rPr>
          <w:rFonts w:ascii="Arial" w:cs="Arial" w:eastAsia="Arial" w:hAnsi="Arial"/>
          <w:sz w:val="18"/>
          <w:szCs w:val="18"/>
          <w:color w:val="231F20"/>
        </w:rPr>
        <w:t>deliver compelling economic value to all stakeholders, including patients, providers and third-party payors such as Medicare and commercial insurers.</w:t>
      </w:r>
    </w:p>
    <w:p>
      <w:pPr>
        <w:spacing w:after="0" w:line="62" w:lineRule="exact"/>
        <w:rPr>
          <w:sz w:val="20"/>
          <w:szCs w:val="20"/>
          <w:color w:val="auto"/>
        </w:rPr>
      </w:pPr>
    </w:p>
    <w:p>
      <w:pPr>
        <w:ind w:right="60" w:firstLine="554"/>
        <w:spacing w:after="0" w:line="271" w:lineRule="auto"/>
        <w:rPr>
          <w:sz w:val="20"/>
          <w:szCs w:val="20"/>
          <w:color w:val="auto"/>
        </w:rPr>
      </w:pPr>
      <w:r>
        <w:rPr>
          <w:rFonts w:ascii="Arial" w:cs="Arial" w:eastAsia="Arial" w:hAnsi="Arial"/>
          <w:sz w:val="17"/>
          <w:szCs w:val="17"/>
          <w:color w:val="231F20"/>
        </w:rPr>
        <w:t>O</w:t>
      </w:r>
      <w:r>
        <w:rPr>
          <w:rFonts w:ascii="Arial" w:cs="Arial" w:eastAsia="Arial" w:hAnsi="Arial"/>
          <w:sz w:val="17"/>
          <w:szCs w:val="17"/>
          <w:color w:val="000000"/>
        </w:rPr>
        <w:t>ur initial product development has focused on the treatment of two of the world’s most prevalent and underserved eye diseases, glaucoma and dry</w:t>
      </w:r>
      <w:r>
        <w:rPr>
          <w:rFonts w:ascii="Arial" w:cs="Arial" w:eastAsia="Arial" w:hAnsi="Arial"/>
          <w:sz w:val="17"/>
          <w:szCs w:val="17"/>
          <w:color w:val="231F20"/>
        </w:rPr>
        <w:t xml:space="preserve"> </w:t>
      </w:r>
      <w:r>
        <w:rPr>
          <w:rFonts w:ascii="Arial" w:cs="Arial" w:eastAsia="Arial" w:hAnsi="Arial"/>
          <w:sz w:val="17"/>
          <w:szCs w:val="17"/>
          <w:color w:val="000000"/>
        </w:rPr>
        <w:t>eye disease. We have commercialized products in each of our two reportable segments, Surgical Glaucoma and Dry Eye. Our Surgical Glaucoma segment consists of sales of the OMNI® Surgical System ("OMNI") and the SION™ Surgical Instrument ("SION"), while our Dry Eye segment includes sales of the TearCare® System, and related components and accessories. Each product is primarily sold through a highly-involved direct sales model that offers intensive education, training and customer service. We believe this philosophy and model not only enables us to differentiate our products and company from competitors, but also to expand our addressable market by educating ophthalmologists and optometrists (together, "ECPs"), patients and other stakeholders on our products and evolving treatment paradigms. Outside of the U.S., we have established direct commercial operations in the United Kingdom and Germany. We sell OMNI in several other countries through distributors.</w:t>
      </w:r>
    </w:p>
    <w:p>
      <w:pPr>
        <w:spacing w:after="0" w:line="17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We sell OMNI and SION to facilities where ophthalmic surgeons perform outpatient procedures, such as ambulatory service centers ("ASCs") and hospital outpatient departments ("</w:t>
      </w:r>
      <w:r>
        <w:rPr>
          <w:rFonts w:ascii="Arial" w:cs="Arial" w:eastAsia="Arial" w:hAnsi="Arial"/>
          <w:sz w:val="17"/>
          <w:szCs w:val="17"/>
          <w:color w:val="231F20"/>
        </w:rPr>
        <w:t>HOPDs"),</w:t>
      </w:r>
      <w:r>
        <w:rPr>
          <w:rFonts w:ascii="Arial" w:cs="Arial" w:eastAsia="Arial" w:hAnsi="Arial"/>
          <w:sz w:val="17"/>
          <w:szCs w:val="17"/>
          <w:color w:val="auto"/>
        </w:rPr>
        <w:t xml:space="preserve"> which are typically reimbursed by Medicare or private payors for procedures using our products. We sell TearCare to optometrist and ophthalmologist practices. Currently, there is no meaningful reimbursement coverage by Medicare or private payors for meibomian gland disease ("MGD") procedures, including TearCare, and patients typically pay out-of-pocket for TearCare. We are continuing our controlled commercial launch and are focused on our comprehensive, clinical data-driven long-term market development plan that aims to improve awareness and patient access to TearCare. We have dedicated meaningful resources to execute our commercial strategy and we continue to expand our sales organization through additional sales representatives and territories. The overall success of our approach to eyecare to date is evidenced by over 180,000 estimated uses of Surgical Glaucoma products and their predicates in over 1,900 hospitals and ASCs in the U.S. and Europe, and over 40,000 estimated uses of TearCare in over 1,300 eyecare facilities in the U.S. through June 30, 2023.</w:t>
      </w:r>
    </w:p>
    <w:p>
      <w:pPr>
        <w:spacing w:after="0" w:line="181" w:lineRule="exact"/>
        <w:rPr>
          <w:sz w:val="20"/>
          <w:szCs w:val="20"/>
          <w:color w:val="auto"/>
        </w:rPr>
      </w:pPr>
    </w:p>
    <w:p>
      <w:pPr>
        <w:jc w:val="both"/>
        <w:ind w:right="300" w:firstLine="509"/>
        <w:spacing w:after="0" w:line="263" w:lineRule="auto"/>
        <w:rPr>
          <w:sz w:val="20"/>
          <w:szCs w:val="20"/>
          <w:color w:val="auto"/>
        </w:rPr>
      </w:pPr>
      <w:r>
        <w:rPr>
          <w:rFonts w:ascii="Arial" w:cs="Arial" w:eastAsia="Arial" w:hAnsi="Arial"/>
          <w:sz w:val="18"/>
          <w:szCs w:val="18"/>
          <w:color w:val="auto"/>
        </w:rPr>
        <w:t>We do not currently operate any manufacturing facilities and instead contract with third parties for our production requirements. We believe our suppliers will be able to meet our current and anticipated manufacturing needs across all our products. We plan to continue to utilize third party contract manufacturers for our products and any related components.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ind w:firstLine="509"/>
        <w:spacing w:after="0" w:line="273" w:lineRule="auto"/>
        <w:rPr>
          <w:sz w:val="20"/>
          <w:szCs w:val="20"/>
          <w:color w:val="auto"/>
        </w:rPr>
      </w:pPr>
      <w:r>
        <w:rPr>
          <w:rFonts w:ascii="Arial" w:cs="Arial" w:eastAsia="Arial" w:hAnsi="Arial"/>
          <w:sz w:val="17"/>
          <w:szCs w:val="17"/>
          <w:color w:val="231F20"/>
        </w:rPr>
        <w:t xml:space="preserve">Revenue in our Surgical Glaucoma segment for the six months ended June 30, 2023 and 2022 was $38.7 million and $29.8 million, respectively, with gross margins for the same period of 87.6% and 88.4%, respectively. The Company continues to focus on cost optimization efforts to increase margins in our Surgical Glaucoma segment. Revenue in our Dry Eye segment for the six months ended June 30, 2023 was $3.6 million, with gross margin of 54.4%. In the prior year comparable period, Dry Eye revenue was $2.3 million, with a gross margin of 0.6%. </w:t>
      </w:r>
      <w:r>
        <w:rPr>
          <w:rFonts w:ascii="Arial" w:cs="Arial" w:eastAsia="Arial" w:hAnsi="Arial"/>
          <w:sz w:val="17"/>
          <w:szCs w:val="17"/>
          <w:color w:val="000000"/>
        </w:rPr>
        <w:t>Given the earlier stage of TearCare’s</w:t>
      </w:r>
      <w:r>
        <w:rPr>
          <w:rFonts w:ascii="Arial" w:cs="Arial" w:eastAsia="Arial" w:hAnsi="Arial"/>
          <w:sz w:val="17"/>
          <w:szCs w:val="17"/>
          <w:color w:val="231F20"/>
        </w:rPr>
        <w:t xml:space="preserve"> </w:t>
      </w:r>
      <w:r>
        <w:rPr>
          <w:rFonts w:ascii="Arial" w:cs="Arial" w:eastAsia="Arial" w:hAnsi="Arial"/>
          <w:sz w:val="17"/>
          <w:szCs w:val="17"/>
          <w:color w:val="000000"/>
        </w:rPr>
        <w:t>commercial development, we expect our Dry Eye segment’s gross margins to be lower than our Surgical Glaucoma segment’s gross margins for the near and medium-term due to the allocation of fixed labor and overhead costs to the segment's cost of goods sold.</w:t>
      </w:r>
    </w:p>
    <w:p>
      <w:pPr>
        <w:spacing w:after="0" w:line="178"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We believe in the importance of continued strategic investment in initiatives that: further demonstrate our products’ clinical effectiveness and safety to potential customers, patients, payors and regulators; enhance our commercial capabilities, including resources dedicated to sales, marketing and education; ensure the broadest possible patient access to the treatment alternatives that our products are cleared to offer; enhance and improve upon our existing product technologies; and allow us to innovate new products, devices or drugs, in glaucoma and ocular surface disease or in new eye disease areas. As a result, we intend to continue to invest in clinical studies, sales and marketing, education initiatives, market access, and product development. However, we are also focused on disciplined expenditures, and seek to grow our operating expenses at a lower rate than revenue. Because of these and other factors, we expect to continue to incur net losses for at least the next several years, and we may seek additional debt and equity financing to fund our operations and planned growth.</w:t>
      </w:r>
    </w:p>
    <w:p>
      <w:pPr>
        <w:spacing w:after="0" w:line="192"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To date, our primary sources of capital have been private placements of redeemable convertible preferred stock, debt financing agreements, the sale of common stock in our IPO, and revenue from the sale of our products. As of June 30, 2023, we had an outstanding term loan balance of $35.0 million (excluding debt discount and amortized debt issuance costs), cash and cash equivalents of $154.5 million and an accumulated deficit of $271.1 million.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 and Results of Operations</w:t>
      </w:r>
    </w:p>
    <w:p>
      <w:pPr>
        <w:spacing w:after="0" w:line="121"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We believe there are several important factors that have impacted and that will continue to impact our business and results of operations. Except as described in Part II, Item 1A, "Risk Factors," there have been no material changes to such factors from those described in our 2022 Form 10-K under the heading "Factors Affecting our Business and Results of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231F20"/>
        </w:rPr>
        <w:t>We currently derive the majority of our U.S. revenue from the sale of our OMNI and SION products to ASCs and HOPDs and our TearCare products to ophthalmology and optometry practices. During the six months ended June 30, 2023 and 2022, the revenue from our Surgical Glaucoma segment accounted for over 90% of our total revenue. Substantially all of our revenue for both periods were generated from sales within the U.S. Our Surgical Glaucoma customers place orders based on their expected procedure volume and reorder as needed, typically on a biweekly, monthly or bimonthly basis. Our TearCare customers typically purchase a TearCare System which consists of one or more SmartHubs, multiple single-use TearCare SmartLids</w:t>
      </w:r>
      <w:r>
        <w:rPr>
          <w:rFonts w:ascii="Arial" w:cs="Arial" w:eastAsia="Arial" w:hAnsi="Arial"/>
          <w:sz w:val="17"/>
          <w:szCs w:val="17"/>
          <w:color w:val="000000"/>
        </w:rPr>
        <w:t>®</w:t>
      </w:r>
      <w:r>
        <w:rPr>
          <w:rFonts w:ascii="Arial" w:cs="Arial" w:eastAsia="Arial" w:hAnsi="Arial"/>
          <w:sz w:val="17"/>
          <w:szCs w:val="17"/>
          <w:color w:val="231F20"/>
        </w:rPr>
        <w:t xml:space="preserve"> </w:t>
      </w:r>
      <w:r>
        <w:rPr>
          <w:rFonts w:ascii="Arial" w:cs="Arial" w:eastAsia="Arial" w:hAnsi="Arial"/>
          <w:sz w:val="17"/>
          <w:szCs w:val="17"/>
          <w:color w:val="000000"/>
        </w:rPr>
        <w:t xml:space="preserve">("SmartLids") </w:t>
      </w:r>
      <w:r>
        <w:rPr>
          <w:rFonts w:ascii="Arial" w:cs="Arial" w:eastAsia="Arial" w:hAnsi="Arial"/>
          <w:sz w:val="17"/>
          <w:szCs w:val="17"/>
          <w:color w:val="231F20"/>
        </w:rPr>
        <w:t>and other accessories. After utilizing their initial inventory, customers can reorder SmartLids as needed. No single customer accounted for</w:t>
      </w:r>
      <w:r>
        <w:rPr>
          <w:rFonts w:ascii="Arial" w:cs="Arial" w:eastAsia="Arial" w:hAnsi="Arial"/>
          <w:sz w:val="17"/>
          <w:szCs w:val="17"/>
          <w:color w:val="000000"/>
        </w:rPr>
        <w:t xml:space="preserve"> </w:t>
      </w:r>
      <w:r>
        <w:rPr>
          <w:rFonts w:ascii="Arial" w:cs="Arial" w:eastAsia="Arial" w:hAnsi="Arial"/>
          <w:sz w:val="17"/>
          <w:szCs w:val="17"/>
          <w:color w:val="231F20"/>
        </w:rPr>
        <w:t>10% or more of our revenue for either the three or six months ended June 30, 2023 and 2022.</w:t>
      </w:r>
    </w:p>
    <w:p>
      <w:pPr>
        <w:spacing w:after="0" w:line="17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231F20"/>
        </w:rPr>
        <w:t>The growth in our revenue is driven by the demand for elective surgery and treatment utilizing our products. Such demand is often lower during summer months because of ECP vacations and in winter months in certain parts of the world because of fewer business or surgery days due to holidays and adverse weather conditions.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 and Gross Margin</w:t>
      </w:r>
    </w:p>
    <w:p>
      <w:pPr>
        <w:spacing w:after="0" w:line="117" w:lineRule="exact"/>
        <w:rPr>
          <w:sz w:val="20"/>
          <w:szCs w:val="20"/>
          <w:color w:val="auto"/>
        </w:rPr>
      </w:pPr>
    </w:p>
    <w:p>
      <w:pPr>
        <w:ind w:right="200" w:firstLine="509"/>
        <w:spacing w:after="0" w:line="263" w:lineRule="auto"/>
        <w:rPr>
          <w:sz w:val="20"/>
          <w:szCs w:val="20"/>
          <w:color w:val="auto"/>
        </w:rPr>
      </w:pPr>
      <w:r>
        <w:rPr>
          <w:rFonts w:ascii="Arial" w:cs="Arial" w:eastAsia="Arial" w:hAnsi="Arial"/>
          <w:sz w:val="18"/>
          <w:szCs w:val="18"/>
          <w:color w:val="231F20"/>
        </w:rPr>
        <w:t>Our products are produced by third-party manufacturers. Our cost of goods sold consists primarily of amounts paid for our products to third-party manufacturers, and our manufacturing overhead costs, which consist primarily of personnel expenses, including salaries, benefits and stock-based compensation, and reserves for excess, obsolete and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231F20"/>
        </w:rPr>
        <w:t>non-sellable inventory. Cost of goods sold also includes depreciation expenses for production equipment which we provide to our third-party manufacturers and certain direct costs, such as shipping and handling costs.</w:t>
      </w:r>
    </w:p>
    <w:p>
      <w:pPr>
        <w:spacing w:after="0" w:line="62"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231F20"/>
        </w:rPr>
        <w:t>We calculate gross margin as gross profit divided by revenue. Our gross margin has been and will continue to be affected by a variety of factors, including differences in segment gross margins, changes in average selling prices, product sales mix, production and ordering volumes, manufacturing costs, product yields, and headcount. In general, we expect our gross margins to increase over the long-term to the extent our production and ordering volumes increase and as we spread the fixed portion of our overhead costs over a larger number of units produced. We intend to use our design, engineering and manufacturing know-how and capabilities to further advance and improve the efficiency of our suppliers’ manufacturing processes, which we believe will reduce costs and increase our gross margins. Our gross margins could fluctuate from quarter to quarter as we transition to new suppliers, introduce new products, and adopt new manufacturing processes and technologies.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Research and development ("R&amp;D") expenses consist primarily of costs associated with engineering, product development, clinical studies to develop and support our products, including clinical trial design, clinical trial site initiation and study costs, internal and external costs associated with our regulatory compliance and quality assurance functions, medical affairs, cost of products used for clinical trials and other costs associated with products and technologies – either new or enhancements of existing platforms – that are in development. These expenses also include personnel expenses, including salaries, benefits and stock-based compensation, supplies, consulting, prototyping, testing, materials, travel expenses, depreciation expenses for equipment and an allocation of information technology ("IT") and facility overhead expenses. Our R&amp;D expenses as a percentage of revenue may vary over time depending on the level and timing of new product development efforts, as well as clinical development, clinical trial and other related activities. We expect our R&amp;D expenses to increase for the next several years as we continue to invest in our active clinical trial program, develop new products, and improve our existing products.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120" w:firstLine="509"/>
        <w:spacing w:after="0" w:line="257" w:lineRule="auto"/>
        <w:rPr>
          <w:sz w:val="20"/>
          <w:szCs w:val="20"/>
          <w:color w:val="auto"/>
        </w:rPr>
      </w:pPr>
      <w:r>
        <w:rPr>
          <w:rFonts w:ascii="Arial" w:cs="Arial" w:eastAsia="Arial" w:hAnsi="Arial"/>
          <w:sz w:val="18"/>
          <w:szCs w:val="18"/>
          <w:color w:val="auto"/>
        </w:rPr>
        <w:t>Selling, general and administrative ("SG&amp;A") expenses consist primarily of personnel expenses, including salaries, benefits and stock-based compensation related to selling, marketing and corporate functions, allocation of IT and facility overhead expenses, bad debt expense, finance, legal and human resource costs. Other SG&amp;A expenses include training, travel expenses, promotional activities, marketing initiatives, market research and analysis, conferences and trade shows, professional services fees (including external legal, audit, consulting and tax fees), insurance costs, and general corporate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620" w:firstLine="509"/>
        <w:spacing w:after="0" w:line="277" w:lineRule="auto"/>
        <w:rPr>
          <w:sz w:val="20"/>
          <w:szCs w:val="20"/>
          <w:color w:val="auto"/>
        </w:rPr>
      </w:pPr>
      <w:r>
        <w:rPr>
          <w:rFonts w:ascii="Arial" w:cs="Arial" w:eastAsia="Arial" w:hAnsi="Arial"/>
          <w:sz w:val="18"/>
          <w:szCs w:val="18"/>
          <w:color w:val="auto"/>
        </w:rPr>
        <w:t>Interest expense consists primarily of interest incurred on our outstanding indebtedness and non-cash interest related to the accretion of debt discount and amortization of debt issuance costs associated with our Term Loan agreement.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Other income, net primarily consists of interest and amortization on held-to-maturity investments in treasury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4"/>
                <w:szCs w:val="14"/>
                <w:b w:val="1"/>
                <w:bCs w:val="1"/>
                <w:color w:val="auto"/>
              </w:rPr>
              <w:t>Three Months Ended June 30,</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2"/>
          </w:tcPr>
          <w:p>
            <w:pPr>
              <w:jc w:val="right"/>
              <w:ind w:right="636"/>
              <w:spacing w:after="0"/>
              <w:rPr>
                <w:sz w:val="20"/>
                <w:szCs w:val="20"/>
                <w:color w:val="auto"/>
              </w:rPr>
            </w:pPr>
            <w:r>
              <w:rPr>
                <w:rFonts w:ascii="Arial" w:cs="Arial" w:eastAsia="Arial" w:hAnsi="Arial"/>
                <w:sz w:val="14"/>
                <w:szCs w:val="14"/>
                <w:b w:val="1"/>
                <w:bCs w:val="1"/>
                <w:color w:val="auto"/>
                <w:w w:val="76"/>
              </w:rPr>
              <w:t>(unaudited)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21,398</w:t>
            </w:r>
          </w:p>
        </w:tc>
        <w:tc>
          <w:tcPr>
            <w:tcW w:w="34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15,899</w:t>
            </w:r>
          </w:p>
        </w:tc>
        <w:tc>
          <w:tcPr>
            <w:tcW w:w="3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5,499</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34.6 %</w:t>
            </w:r>
          </w:p>
        </w:tc>
        <w:tc>
          <w:tcPr>
            <w:tcW w:w="20" w:type="dxa"/>
            <w:vAlign w:val="bottom"/>
          </w:tcPr>
          <w:p>
            <w:pPr>
              <w:spacing w:after="0"/>
              <w:rPr>
                <w:sz w:val="20"/>
                <w:szCs w:val="20"/>
                <w:color w:val="auto"/>
              </w:rPr>
            </w:pPr>
          </w:p>
        </w:tc>
      </w:tr>
      <w:tr>
        <w:trPr>
          <w:trHeight w:val="249"/>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8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i w:val="1"/>
                <w:iCs w:val="1"/>
                <w:color w:val="auto"/>
              </w:rPr>
              <w:t>91.2 %</w:t>
            </w:r>
          </w:p>
        </w:tc>
        <w:tc>
          <w:tcPr>
            <w:tcW w:w="9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92.3 %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0"/>
              <w:spacing w:after="0"/>
              <w:rPr>
                <w:sz w:val="20"/>
                <w:szCs w:val="20"/>
                <w:color w:val="auto"/>
              </w:rPr>
            </w:pPr>
            <w:r>
              <w:rPr>
                <w:rFonts w:ascii="Arial" w:cs="Arial" w:eastAsia="Arial" w:hAnsi="Arial"/>
                <w:sz w:val="18"/>
                <w:szCs w:val="18"/>
                <w:color w:val="auto"/>
              </w:rPr>
              <w:t>Dry Eye</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2,073</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1,330</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8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i w:val="1"/>
                <w:iCs w:val="1"/>
                <w:color w:val="auto"/>
              </w:rPr>
              <w:t>8.8 %</w:t>
            </w:r>
          </w:p>
        </w:tc>
        <w:tc>
          <w:tcPr>
            <w:tcW w:w="9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7.7 %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396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23,471</w:t>
            </w:r>
          </w:p>
        </w:tc>
        <w:tc>
          <w:tcPr>
            <w:tcW w:w="340" w:type="dxa"/>
            <w:vAlign w:val="bottom"/>
            <w:tcBorders>
              <w:top w:val="single" w:sz="8" w:color="CFF0FC"/>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17,229</w:t>
            </w:r>
          </w:p>
        </w:tc>
        <w:tc>
          <w:tcPr>
            <w:tcW w:w="32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6,242</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Cost of goods sold</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2,444</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1,949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8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937</w:t>
            </w: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787</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56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3,381</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2,736</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18,954</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13,950</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(109.2 )</w:t>
            </w:r>
          </w:p>
        </w:tc>
        <w:tc>
          <w:tcPr>
            <w:tcW w:w="20" w:type="dxa"/>
            <w:vAlign w:val="bottom"/>
          </w:tcPr>
          <w:p>
            <w:pPr>
              <w:spacing w:after="0"/>
              <w:rPr>
                <w:sz w:val="21"/>
                <w:szCs w:val="21"/>
                <w:color w:val="auto"/>
              </w:rPr>
            </w:pPr>
          </w:p>
        </w:tc>
      </w:tr>
      <w:tr>
        <w:trPr>
          <w:trHeight w:val="237"/>
        </w:trPr>
        <w:tc>
          <w:tcPr>
            <w:tcW w:w="396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20,090</w:t>
            </w:r>
          </w:p>
        </w:tc>
        <w:tc>
          <w:tcPr>
            <w:tcW w:w="340" w:type="dxa"/>
            <w:vAlign w:val="bottom"/>
            <w:tcBorders>
              <w:top w:val="single" w:sz="8" w:color="CFF0FC"/>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14,493</w:t>
            </w:r>
          </w:p>
        </w:tc>
        <w:tc>
          <w:tcPr>
            <w:tcW w:w="32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5,597</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4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margin</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880" w:type="dxa"/>
            <w:vAlign w:val="bottom"/>
          </w:tcPr>
          <w:p>
            <w:pPr>
              <w:spacing w:after="0"/>
              <w:rPr>
                <w:sz w:val="20"/>
                <w:szCs w:val="20"/>
                <w:color w:val="auto"/>
              </w:rPr>
            </w:pPr>
          </w:p>
        </w:tc>
        <w:tc>
          <w:tcPr>
            <w:tcW w:w="900" w:type="dxa"/>
            <w:vAlign w:val="bottom"/>
            <w:gridSpan w:val="2"/>
          </w:tcPr>
          <w:p>
            <w:pPr>
              <w:jc w:val="right"/>
              <w:ind w:right="76"/>
              <w:spacing w:after="0"/>
              <w:rPr>
                <w:sz w:val="20"/>
                <w:szCs w:val="20"/>
                <w:color w:val="auto"/>
              </w:rPr>
            </w:pPr>
            <w:r>
              <w:rPr>
                <w:rFonts w:ascii="Arial" w:cs="Arial" w:eastAsia="Arial" w:hAnsi="Arial"/>
                <w:sz w:val="18"/>
                <w:szCs w:val="18"/>
                <w:i w:val="1"/>
                <w:iCs w:val="1"/>
                <w:color w:val="auto"/>
              </w:rPr>
              <w:t>88.6 %</w:t>
            </w:r>
          </w:p>
        </w:tc>
        <w:tc>
          <w:tcPr>
            <w:tcW w:w="980" w:type="dxa"/>
            <w:vAlign w:val="bottom"/>
          </w:tcPr>
          <w:p>
            <w:pPr>
              <w:spacing w:after="0"/>
              <w:rPr>
                <w:sz w:val="20"/>
                <w:szCs w:val="20"/>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i w:val="1"/>
                <w:iCs w:val="1"/>
                <w:color w:val="auto"/>
              </w:rPr>
              <w:t>87.7 %</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8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i w:val="1"/>
                <w:iCs w:val="1"/>
                <w:color w:val="auto"/>
              </w:rPr>
              <w:t>54.8 %</w:t>
            </w:r>
          </w:p>
        </w:tc>
        <w:tc>
          <w:tcPr>
            <w:tcW w:w="9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40.8 %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39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3960" w:type="dxa"/>
            <w:vAlign w:val="bottom"/>
          </w:tcPr>
          <w:p>
            <w:pPr>
              <w:ind w:left="56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0"/>
                <w:szCs w:val="20"/>
                <w:color w:val="auto"/>
              </w:rPr>
            </w:pPr>
          </w:p>
        </w:tc>
        <w:tc>
          <w:tcPr>
            <w:tcW w:w="900" w:type="dxa"/>
            <w:vAlign w:val="bottom"/>
            <w:gridSpan w:val="2"/>
          </w:tcPr>
          <w:p>
            <w:pPr>
              <w:jc w:val="right"/>
              <w:ind w:right="76"/>
              <w:spacing w:after="0"/>
              <w:rPr>
                <w:sz w:val="20"/>
                <w:szCs w:val="20"/>
                <w:color w:val="auto"/>
              </w:rPr>
            </w:pPr>
            <w:r>
              <w:rPr>
                <w:rFonts w:ascii="Arial" w:cs="Arial" w:eastAsia="Arial" w:hAnsi="Arial"/>
                <w:sz w:val="18"/>
                <w:szCs w:val="18"/>
                <w:i w:val="1"/>
                <w:iCs w:val="1"/>
                <w:color w:val="auto"/>
              </w:rPr>
              <w:t xml:space="preserve">85.6 </w:t>
            </w:r>
            <w:r>
              <w:rPr>
                <w:rFonts w:ascii="Arial" w:cs="Arial" w:eastAsia="Arial" w:hAnsi="Arial"/>
                <w:sz w:val="18"/>
                <w:szCs w:val="18"/>
                <w:i w:val="1"/>
                <w:iCs w:val="1"/>
                <w:color w:val="auto"/>
                <w:highlight w:val="white"/>
              </w:rPr>
              <w:t>%</w:t>
            </w:r>
          </w:p>
        </w:tc>
        <w:tc>
          <w:tcPr>
            <w:tcW w:w="980" w:type="dxa"/>
            <w:vAlign w:val="bottom"/>
          </w:tcPr>
          <w:p>
            <w:pPr>
              <w:spacing w:after="0"/>
              <w:rPr>
                <w:sz w:val="20"/>
                <w:szCs w:val="20"/>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i w:val="1"/>
                <w:iCs w:val="1"/>
                <w:color w:val="auto"/>
              </w:rPr>
              <w:t xml:space="preserve">84.1 </w:t>
            </w:r>
            <w:r>
              <w:rPr>
                <w:rFonts w:ascii="Arial" w:cs="Arial" w:eastAsia="Arial" w:hAnsi="Arial"/>
                <w:sz w:val="18"/>
                <w:szCs w:val="18"/>
                <w:i w:val="1"/>
                <w:iCs w:val="1"/>
                <w:color w:val="auto"/>
                <w:highlight w:val="white"/>
              </w:rPr>
              <w:t>%</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5,221</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5,926</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(705 )</w:t>
            </w:r>
          </w:p>
        </w:tc>
        <w:tc>
          <w:tcPr>
            <w:tcW w:w="4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(11.9 )</w:t>
            </w:r>
          </w:p>
        </w:tc>
        <w:tc>
          <w:tcPr>
            <w:tcW w:w="20" w:type="dxa"/>
            <w:vAlign w:val="bottom"/>
          </w:tcPr>
          <w:p>
            <w:pPr>
              <w:spacing w:after="0"/>
              <w:rPr>
                <w:sz w:val="20"/>
                <w:szCs w:val="20"/>
                <w:color w:val="auto"/>
              </w:rPr>
            </w:pPr>
          </w:p>
        </w:tc>
      </w:tr>
      <w:tr>
        <w:trPr>
          <w:trHeight w:val="24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30,056</w:t>
            </w: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31,431</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(1,375 )</w:t>
            </w:r>
          </w:p>
        </w:tc>
        <w:tc>
          <w:tcPr>
            <w:tcW w:w="4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(4.4 )</w:t>
            </w:r>
          </w:p>
        </w:tc>
        <w:tc>
          <w:tcPr>
            <w:tcW w:w="20" w:type="dxa"/>
            <w:vAlign w:val="bottom"/>
          </w:tcPr>
          <w:p>
            <w:pPr>
              <w:spacing w:after="0"/>
              <w:rPr>
                <w:sz w:val="21"/>
                <w:szCs w:val="21"/>
                <w:color w:val="auto"/>
              </w:rPr>
            </w:pPr>
          </w:p>
        </w:tc>
      </w:tr>
      <w:tr>
        <w:trPr>
          <w:trHeight w:val="20"/>
        </w:trPr>
        <w:tc>
          <w:tcPr>
            <w:tcW w:w="39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96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35,277</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37,357</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(2,080 )</w:t>
            </w:r>
          </w:p>
        </w:tc>
        <w:tc>
          <w:tcPr>
            <w:tcW w:w="4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(5.6 )</w:t>
            </w:r>
          </w:p>
        </w:tc>
        <w:tc>
          <w:tcPr>
            <w:tcW w:w="20" w:type="dxa"/>
            <w:vAlign w:val="bottom"/>
          </w:tcPr>
          <w:p>
            <w:pPr>
              <w:spacing w:after="0"/>
              <w:rPr>
                <w:sz w:val="20"/>
                <w:szCs w:val="20"/>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(15,187</w:t>
            </w:r>
          </w:p>
        </w:tc>
        <w:tc>
          <w:tcPr>
            <w:tcW w:w="34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(22,864</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7,677</w:t>
            </w:r>
          </w:p>
        </w:tc>
        <w:tc>
          <w:tcPr>
            <w:tcW w:w="280" w:type="dxa"/>
            <w:vAlign w:val="bottom"/>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0"/>
                <w:szCs w:val="20"/>
                <w:color w:val="auto"/>
              </w:rPr>
            </w:pPr>
          </w:p>
        </w:tc>
        <w:tc>
          <w:tcPr>
            <w:tcW w:w="900" w:type="dxa"/>
            <w:vAlign w:val="bottom"/>
            <w:gridSpan w:val="2"/>
          </w:tcPr>
          <w:p>
            <w:pPr>
              <w:jc w:val="right"/>
              <w:ind w:right="176"/>
              <w:spacing w:after="0"/>
              <w:rPr>
                <w:sz w:val="20"/>
                <w:szCs w:val="20"/>
                <w:color w:val="auto"/>
              </w:rPr>
            </w:pPr>
            <w:r>
              <w:rPr>
                <w:rFonts w:ascii="Arial" w:cs="Arial" w:eastAsia="Arial" w:hAnsi="Arial"/>
                <w:sz w:val="18"/>
                <w:szCs w:val="18"/>
                <w:color w:val="auto"/>
                <w:w w:val="99"/>
              </w:rPr>
              <w:t>(1,349 )</w:t>
            </w:r>
          </w:p>
        </w:tc>
        <w:tc>
          <w:tcPr>
            <w:tcW w:w="98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(1,065 )</w:t>
            </w:r>
          </w:p>
        </w:tc>
        <w:tc>
          <w:tcPr>
            <w:tcW w:w="4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(284 )</w:t>
            </w:r>
          </w:p>
        </w:tc>
        <w:tc>
          <w:tcPr>
            <w:tcW w:w="4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(26.7 )</w:t>
            </w:r>
          </w:p>
        </w:tc>
        <w:tc>
          <w:tcPr>
            <w:tcW w:w="20" w:type="dxa"/>
            <w:vAlign w:val="bottom"/>
          </w:tcPr>
          <w:p>
            <w:pPr>
              <w:spacing w:after="0"/>
              <w:rPr>
                <w:sz w:val="20"/>
                <w:szCs w:val="20"/>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1,790</w:t>
            </w: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1,695</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(1,784.2 )</w:t>
            </w:r>
          </w:p>
        </w:tc>
        <w:tc>
          <w:tcPr>
            <w:tcW w:w="20" w:type="dxa"/>
            <w:vAlign w:val="bottom"/>
          </w:tcPr>
          <w:p>
            <w:pPr>
              <w:spacing w:after="0"/>
              <w:rPr>
                <w:sz w:val="21"/>
                <w:szCs w:val="21"/>
                <w:color w:val="auto"/>
              </w:rPr>
            </w:pPr>
          </w:p>
        </w:tc>
      </w:tr>
      <w:tr>
        <w:trPr>
          <w:trHeight w:val="243"/>
        </w:trPr>
        <w:tc>
          <w:tcPr>
            <w:tcW w:w="3960" w:type="dxa"/>
            <w:vAlign w:val="bottom"/>
            <w:tcBorders>
              <w:top w:val="single" w:sz="8" w:color="CFF0FC"/>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340" w:type="dxa"/>
            <w:vAlign w:val="bottom"/>
            <w:tcBorders>
              <w:top w:val="single" w:sz="8" w:color="CFF0FC"/>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320" w:type="dxa"/>
            <w:vAlign w:val="bottom"/>
            <w:tcBorders>
              <w:top w:val="single" w:sz="8" w:color="CFF0FC"/>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before income tax</w:t>
            </w:r>
          </w:p>
        </w:tc>
        <w:tc>
          <w:tcPr>
            <w:tcW w:w="8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76"/>
              <w:spacing w:after="0"/>
              <w:rPr>
                <w:sz w:val="20"/>
                <w:szCs w:val="20"/>
                <w:color w:val="auto"/>
              </w:rPr>
            </w:pPr>
            <w:r>
              <w:rPr>
                <w:rFonts w:ascii="Arial" w:cs="Arial" w:eastAsia="Arial" w:hAnsi="Arial"/>
                <w:sz w:val="18"/>
                <w:szCs w:val="18"/>
                <w:color w:val="auto"/>
                <w:w w:val="85"/>
              </w:rPr>
              <w:t>(14,746 )</w:t>
            </w:r>
          </w:p>
        </w:tc>
        <w:tc>
          <w:tcPr>
            <w:tcW w:w="9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91"/>
              </w:rPr>
              <w:t>(23,834 )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9,088</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Provision (benefit) for income tax</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460" w:type="dxa"/>
            <w:vAlign w:val="bottom"/>
          </w:tcPr>
          <w:p>
            <w:pPr>
              <w:spacing w:after="0"/>
              <w:rPr>
                <w:sz w:val="20"/>
                <w:szCs w:val="20"/>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(11.1 )</w:t>
            </w:r>
          </w:p>
        </w:tc>
        <w:tc>
          <w:tcPr>
            <w:tcW w:w="20" w:type="dxa"/>
            <w:vAlign w:val="bottom"/>
          </w:tcPr>
          <w:p>
            <w:pPr>
              <w:spacing w:after="0"/>
              <w:rPr>
                <w:sz w:val="20"/>
                <w:szCs w:val="20"/>
                <w:color w:val="auto"/>
              </w:rPr>
            </w:pPr>
          </w:p>
        </w:tc>
      </w:tr>
      <w:tr>
        <w:trPr>
          <w:trHeight w:val="20"/>
        </w:trPr>
        <w:tc>
          <w:tcPr>
            <w:tcW w:w="39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83"/>
        </w:trPr>
        <w:tc>
          <w:tcPr>
            <w:tcW w:w="3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 and comprehensive loss</w:t>
            </w: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(14,754</w:t>
            </w:r>
          </w:p>
        </w:tc>
        <w:tc>
          <w:tcPr>
            <w:tcW w:w="340" w:type="dxa"/>
            <w:vAlign w:val="bottom"/>
            <w:tcBorders>
              <w:bottom w:val="single" w:sz="8" w:color="CFF0FC"/>
            </w:tcBorders>
            <w:shd w:val="clear" w:color="auto" w:fill="CFF0FC"/>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(23,843</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9,089</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38.1 %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-3796665</wp:posOffset>
            </wp:positionV>
            <wp:extent cx="85725"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-3796665</wp:posOffset>
            </wp:positionV>
            <wp:extent cx="85725"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-3796665</wp:posOffset>
            </wp:positionV>
            <wp:extent cx="85725" cy="1631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-3796665</wp:posOffset>
            </wp:positionV>
            <wp:extent cx="85725"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-3171190</wp:posOffset>
            </wp:positionV>
            <wp:extent cx="85725"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-3171190</wp:posOffset>
            </wp:positionV>
            <wp:extent cx="85725" cy="1631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-3171190</wp:posOffset>
            </wp:positionV>
            <wp:extent cx="85725"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-3171190</wp:posOffset>
            </wp:positionV>
            <wp:extent cx="85725"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-2545080</wp:posOffset>
            </wp:positionV>
            <wp:extent cx="85725"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-2545080</wp:posOffset>
            </wp:positionV>
            <wp:extent cx="85725"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-2545080</wp:posOffset>
            </wp:positionV>
            <wp:extent cx="85725"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-2545080</wp:posOffset>
            </wp:positionV>
            <wp:extent cx="85725" cy="1631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-1919605</wp:posOffset>
            </wp:positionV>
            <wp:extent cx="85725" cy="162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-1919605</wp:posOffset>
            </wp:positionV>
            <wp:extent cx="85725" cy="1625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-1293495</wp:posOffset>
            </wp:positionV>
            <wp:extent cx="8572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-1293495</wp:posOffset>
            </wp:positionV>
            <wp:extent cx="85725"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-1293495</wp:posOffset>
            </wp:positionV>
            <wp:extent cx="85725"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-1293495</wp:posOffset>
            </wp:positionV>
            <wp:extent cx="85725"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-659130</wp:posOffset>
            </wp:positionV>
            <wp:extent cx="85725"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-659130</wp:posOffset>
            </wp:positionV>
            <wp:extent cx="85725"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-659130</wp:posOffset>
            </wp:positionV>
            <wp:extent cx="85725"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-659130</wp:posOffset>
            </wp:positionV>
            <wp:extent cx="85725"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857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857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90" w:lineRule="exact"/>
        <w:rPr>
          <w:sz w:val="20"/>
          <w:szCs w:val="20"/>
          <w:color w:val="auto"/>
        </w:rPr>
      </w:pPr>
    </w:p>
    <w:p>
      <w:pPr>
        <w:ind w:right="180" w:firstLine="509"/>
        <w:spacing w:after="0" w:line="293" w:lineRule="auto"/>
        <w:rPr>
          <w:sz w:val="20"/>
          <w:szCs w:val="20"/>
          <w:color w:val="auto"/>
        </w:rPr>
      </w:pPr>
      <w:r>
        <w:rPr>
          <w:rFonts w:ascii="Arial" w:cs="Arial" w:eastAsia="Arial" w:hAnsi="Arial"/>
          <w:sz w:val="16"/>
          <w:szCs w:val="16"/>
          <w:i w:val="1"/>
          <w:iCs w:val="1"/>
          <w:color w:val="auto"/>
        </w:rPr>
        <w:t>Revenue</w:t>
      </w:r>
      <w:r>
        <w:rPr>
          <w:rFonts w:ascii="Arial" w:cs="Arial" w:eastAsia="Arial" w:hAnsi="Arial"/>
          <w:sz w:val="16"/>
          <w:szCs w:val="16"/>
          <w:color w:val="auto"/>
        </w:rPr>
        <w:t>. Revenue for the three months ended June 30, 2023 was $23.5 million, an increase of $6.2 million, or 36.2%,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comparable period. The overall increase in Surgical Glaucoma revenue was primarily attributable to an increase in the number of OMNI and SION units sold in the three months ended June 30, 2023. This growth in units was driven by both a growth in the number of facilities ordering OMNI and SION, as well as an increase in unit utilization per ordering facility. Our Dry Eye revenue increased in the three months ended June 30, 2023 versus the comparable period in 2022 due to the continued growth in our customer base and an increase in total TearCare procedures performed. Surgical Glaucoma sales represented 91.2% and 92.3% of our total revenue generated in the three months ended June 30, 2023 and 2022, respectively.</w:t>
      </w:r>
    </w:p>
    <w:p>
      <w:pPr>
        <w:spacing w:after="0" w:line="164" w:lineRule="exact"/>
        <w:rPr>
          <w:sz w:val="20"/>
          <w:szCs w:val="20"/>
          <w:color w:val="auto"/>
        </w:rPr>
      </w:pPr>
    </w:p>
    <w:p>
      <w:pPr>
        <w:ind w:right="80" w:firstLine="509"/>
        <w:spacing w:after="0" w:line="257" w:lineRule="auto"/>
        <w:rPr>
          <w:sz w:val="20"/>
          <w:szCs w:val="20"/>
          <w:color w:val="auto"/>
        </w:rPr>
      </w:pPr>
      <w:r>
        <w:rPr>
          <w:rFonts w:ascii="Arial" w:cs="Arial" w:eastAsia="Arial" w:hAnsi="Arial"/>
          <w:sz w:val="18"/>
          <w:szCs w:val="18"/>
          <w:i w:val="1"/>
          <w:iCs w:val="1"/>
          <w:color w:val="auto"/>
        </w:rPr>
        <w:t>Cost of Goods Sold and Gross Profit</w:t>
      </w:r>
      <w:r>
        <w:rPr>
          <w:rFonts w:ascii="Arial" w:cs="Arial" w:eastAsia="Arial" w:hAnsi="Arial"/>
          <w:sz w:val="18"/>
          <w:szCs w:val="18"/>
          <w:color w:val="auto"/>
        </w:rPr>
        <w:t>. Cost of goods sold was $3.4 million, during the three months ended June 30, 2023, an increase of $0.6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$2.7 million in the prior year comparable period. Our Surgical Glaucoma cost of goods sold increased $0.5 million as compared to the comparable period in 2022. The increase was driven by increased sales activity, partially offset by lower per unit production costs as a result of continued manufacturing efficiencies. Dry Eye cost of goods sold increased $0.2 million in the three months ended June 30, 2023 compared to the comparable period in 2022 primarily driven by higher sales volumes and offset by cost efficiencies.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661" w:right="319" w:bottom="1440" w:gutter="0" w:footer="0" w:header="0"/>
        </w:sectPr>
      </w:pPr>
    </w:p>
    <w:bookmarkStart w:id="25" w:name="page26"/>
    <w:bookmarkEnd w:id="25"/>
    <w:p>
      <w:pPr>
        <w:ind w:right="140" w:firstLine="509"/>
        <w:spacing w:after="0" w:line="293" w:lineRule="auto"/>
        <w:rPr>
          <w:sz w:val="20"/>
          <w:szCs w:val="20"/>
          <w:color w:val="auto"/>
        </w:rPr>
      </w:pPr>
      <w:r>
        <w:rPr>
          <w:rFonts w:ascii="Arial" w:cs="Arial" w:eastAsia="Arial" w:hAnsi="Arial"/>
          <w:sz w:val="16"/>
          <w:szCs w:val="16"/>
          <w:color w:val="auto"/>
        </w:rPr>
        <w:t>Our total gross profit was $20.1 million in the three months ended June 30, 2023, an increase of $5.6 million from the comparable period in 2022. Our total gross margin for the three months ended June 30, 2023 increased to 85.6%, up from 84.1% in the prior year comparable period. Gross margin in our Surgical Glaucoma segment was 88.6% for the quarter ended June 30, 2023, an increase from 87.7% for the prior year comparable period, primarily due to manufacturing efficiencies generated as a result of higher OMNI production volumes, partially offset by lower average selling price due to product mix. In our Dry Eye segment, gross margin increased from 40.8% in the second quarter of 2022 to 54.8% for the quarter ended June 30, 2023, primarily due to increased mix of SmartLids, which has a higher gross margin than SmartHubs and higher average selling price of SmartHubs.</w:t>
      </w:r>
    </w:p>
    <w:p>
      <w:pPr>
        <w:spacing w:after="0" w:line="164"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i w:val="1"/>
          <w:iCs w:val="1"/>
          <w:color w:val="auto"/>
        </w:rPr>
        <w:t>Research and Development Expenses</w:t>
      </w:r>
      <w:r>
        <w:rPr>
          <w:rFonts w:ascii="Arial" w:cs="Arial" w:eastAsia="Arial" w:hAnsi="Arial"/>
          <w:sz w:val="18"/>
          <w:szCs w:val="18"/>
          <w:color w:val="auto"/>
        </w:rPr>
        <w:t>. The $0.7 million decrease in R&amp;D expenses during the three months ended June 30, 2023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2022 was primarily attributable to a $0.2 million decrease in personnel expenses and a $0.2 million decrease in clinical studies expense.</w:t>
      </w:r>
    </w:p>
    <w:p>
      <w:pPr>
        <w:spacing w:after="0" w:line="184" w:lineRule="exact"/>
        <w:rPr>
          <w:sz w:val="20"/>
          <w:szCs w:val="20"/>
          <w:color w:val="auto"/>
        </w:rPr>
      </w:pPr>
    </w:p>
    <w:p>
      <w:pPr>
        <w:ind w:right="20" w:firstLine="509"/>
        <w:spacing w:after="0" w:line="279" w:lineRule="auto"/>
        <w:rPr>
          <w:sz w:val="20"/>
          <w:szCs w:val="20"/>
          <w:color w:val="auto"/>
        </w:rPr>
      </w:pPr>
      <w:r>
        <w:rPr>
          <w:rFonts w:ascii="Arial" w:cs="Arial" w:eastAsia="Arial" w:hAnsi="Arial"/>
          <w:sz w:val="17"/>
          <w:szCs w:val="17"/>
          <w:i w:val="1"/>
          <w:iCs w:val="1"/>
          <w:color w:val="auto"/>
        </w:rPr>
        <w:t>Selling, General, and Administrative Expenses</w:t>
      </w:r>
      <w:r>
        <w:rPr>
          <w:rFonts w:ascii="Arial" w:cs="Arial" w:eastAsia="Arial" w:hAnsi="Arial"/>
          <w:sz w:val="17"/>
          <w:szCs w:val="17"/>
          <w:color w:val="auto"/>
        </w:rPr>
        <w:t>. SG&amp;A expenses were $30.1 million for the three months ended June 30, 2023, a decrease of $1.4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from the prior year comparable period. The decrease was primarily driven by a $1.3 million decrease in marketing expenses in the second quarter. In addition, the Company saw a $0.7 million decrease in consulting expenses, a $0.5 million decrease in personnel expenses, and a $0.3 million decrease in employee recruiting expenses. These decreases were partially offset by a $0.9 million increase in legal expenses.</w:t>
      </w:r>
    </w:p>
    <w:p>
      <w:pPr>
        <w:spacing w:after="0" w:line="171" w:lineRule="exact"/>
        <w:rPr>
          <w:sz w:val="20"/>
          <w:szCs w:val="20"/>
          <w:color w:val="auto"/>
        </w:rPr>
      </w:pPr>
    </w:p>
    <w:p>
      <w:pPr>
        <w:ind w:right="160" w:firstLine="509"/>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$0.3 million, as the Company saw an increase in lending rates during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compared to the three months ended June 30, 2022.</w:t>
      </w:r>
    </w:p>
    <w:p>
      <w:pPr>
        <w:spacing w:after="0" w:line="170"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was $1.8 million for the three months ended June 30, 2023 as compared to $0.1 million in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2022. The income is attributable to the amortization of purchase discounts on held-to-maturity cash-equivalent investments. We began investing in treasury securities in June 2022.</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 (dollars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2760" w:type="dxa"/>
            <w:vAlign w:val="bottom"/>
            <w:tcBorders>
              <w:bottom w:val="single" w:sz="8" w:color="auto"/>
            </w:tcBorders>
            <w:gridSpan w:val="4"/>
          </w:tcPr>
          <w:p>
            <w:pPr>
              <w:jc w:val="right"/>
              <w:ind w:right="156"/>
              <w:spacing w:after="0"/>
              <w:rPr>
                <w:sz w:val="20"/>
                <w:szCs w:val="20"/>
                <w:color w:val="auto"/>
              </w:rPr>
            </w:pPr>
            <w:r>
              <w:rPr>
                <w:rFonts w:ascii="Arial" w:cs="Arial" w:eastAsia="Arial" w:hAnsi="Arial"/>
                <w:sz w:val="14"/>
                <w:szCs w:val="14"/>
                <w:b w:val="1"/>
                <w:bCs w:val="1"/>
                <w:color w:val="auto"/>
              </w:rPr>
              <w:t>Six Months Ended June 30,</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1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396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39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20" w:type="dxa"/>
            <w:vAlign w:val="bottom"/>
            <w:gridSpan w:val="2"/>
          </w:tcPr>
          <w:p>
            <w:pPr>
              <w:jc w:val="right"/>
              <w:ind w:right="636"/>
              <w:spacing w:after="0"/>
              <w:rPr>
                <w:sz w:val="20"/>
                <w:szCs w:val="20"/>
                <w:color w:val="auto"/>
              </w:rPr>
            </w:pPr>
            <w:r>
              <w:rPr>
                <w:rFonts w:ascii="Arial" w:cs="Arial" w:eastAsia="Arial" w:hAnsi="Arial"/>
                <w:sz w:val="14"/>
                <w:szCs w:val="14"/>
                <w:b w:val="1"/>
                <w:bCs w:val="1"/>
                <w:color w:val="auto"/>
                <w:w w:val="76"/>
              </w:rPr>
              <w:t>(unaudited)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38,733</w:t>
            </w:r>
          </w:p>
        </w:tc>
        <w:tc>
          <w:tcPr>
            <w:tcW w:w="340" w:type="dxa"/>
            <w:vAlign w:val="bottom"/>
          </w:tcPr>
          <w:p>
            <w:pPr>
              <w:spacing w:after="0"/>
              <w:rPr>
                <w:sz w:val="20"/>
                <w:szCs w:val="20"/>
                <w:color w:val="auto"/>
              </w:rPr>
            </w:pP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29,770</w:t>
            </w:r>
          </w:p>
        </w:tc>
        <w:tc>
          <w:tcPr>
            <w:tcW w:w="3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8,963</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30.1 %</w:t>
            </w:r>
          </w:p>
        </w:tc>
        <w:tc>
          <w:tcPr>
            <w:tcW w:w="20" w:type="dxa"/>
            <w:vAlign w:val="bottom"/>
          </w:tcPr>
          <w:p>
            <w:pPr>
              <w:spacing w:after="0"/>
              <w:rPr>
                <w:sz w:val="20"/>
                <w:szCs w:val="20"/>
                <w:color w:val="auto"/>
              </w:rPr>
            </w:pPr>
          </w:p>
        </w:tc>
      </w:tr>
      <w:tr>
        <w:trPr>
          <w:trHeight w:val="249"/>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8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i w:val="1"/>
                <w:iCs w:val="1"/>
                <w:color w:val="auto"/>
              </w:rPr>
              <w:t>91.6 %</w:t>
            </w:r>
          </w:p>
        </w:tc>
        <w:tc>
          <w:tcPr>
            <w:tcW w:w="9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92.7 %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0"/>
              <w:spacing w:after="0"/>
              <w:rPr>
                <w:sz w:val="20"/>
                <w:szCs w:val="20"/>
                <w:color w:val="auto"/>
              </w:rPr>
            </w:pPr>
            <w:r>
              <w:rPr>
                <w:rFonts w:ascii="Arial" w:cs="Arial" w:eastAsia="Arial" w:hAnsi="Arial"/>
                <w:sz w:val="18"/>
                <w:szCs w:val="18"/>
                <w:color w:val="auto"/>
              </w:rPr>
              <w:t>Dry Eye</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3,563</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2,341</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1,222</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960" w:type="dxa"/>
            <w:vAlign w:val="bottom"/>
            <w:shd w:val="clear" w:color="auto" w:fill="CFF0FC"/>
          </w:tcPr>
          <w:p>
            <w:pPr>
              <w:ind w:left="380"/>
              <w:spacing w:after="0"/>
              <w:rPr>
                <w:sz w:val="20"/>
                <w:szCs w:val="20"/>
                <w:color w:val="auto"/>
              </w:rPr>
            </w:pPr>
            <w:r>
              <w:rPr>
                <w:rFonts w:ascii="Arial" w:cs="Arial" w:eastAsia="Arial" w:hAnsi="Arial"/>
                <w:sz w:val="18"/>
                <w:szCs w:val="18"/>
                <w:i w:val="1"/>
                <w:iCs w:val="1"/>
                <w:color w:val="auto"/>
              </w:rPr>
              <w:t>Percentage of total revenue</w:t>
            </w:r>
          </w:p>
        </w:tc>
        <w:tc>
          <w:tcPr>
            <w:tcW w:w="8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i w:val="1"/>
                <w:iCs w:val="1"/>
                <w:color w:val="auto"/>
              </w:rPr>
              <w:t>8.4 %</w:t>
            </w:r>
          </w:p>
        </w:tc>
        <w:tc>
          <w:tcPr>
            <w:tcW w:w="9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7.3 %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6"/>
        </w:trPr>
        <w:tc>
          <w:tcPr>
            <w:tcW w:w="396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42,296</w:t>
            </w:r>
          </w:p>
        </w:tc>
        <w:tc>
          <w:tcPr>
            <w:tcW w:w="340" w:type="dxa"/>
            <w:vAlign w:val="bottom"/>
            <w:tcBorders>
              <w:top w:val="single" w:sz="8" w:color="CFF0FC"/>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32,111</w:t>
            </w:r>
          </w:p>
        </w:tc>
        <w:tc>
          <w:tcPr>
            <w:tcW w:w="32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10,185</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Cost of goods sold</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4,806</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3,440</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1,366</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w:t>
            </w: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2,328</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(705 )</w:t>
            </w:r>
          </w:p>
        </w:tc>
        <w:tc>
          <w:tcPr>
            <w:tcW w:w="4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(30.3 )</w:t>
            </w:r>
          </w:p>
        </w:tc>
        <w:tc>
          <w:tcPr>
            <w:tcW w:w="20" w:type="dxa"/>
            <w:vAlign w:val="bottom"/>
          </w:tcPr>
          <w:p>
            <w:pPr>
              <w:spacing w:after="0"/>
              <w:rPr>
                <w:sz w:val="21"/>
                <w:szCs w:val="21"/>
                <w:color w:val="auto"/>
              </w:rPr>
            </w:pPr>
          </w:p>
        </w:tc>
      </w:tr>
      <w:tr>
        <w:trPr>
          <w:trHeight w:val="237"/>
        </w:trPr>
        <w:tc>
          <w:tcPr>
            <w:tcW w:w="3960" w:type="dxa"/>
            <w:vAlign w:val="bottom"/>
            <w:tcBorders>
              <w:top w:val="single" w:sz="8" w:color="CFF0FC"/>
            </w:tcBorders>
          </w:tcPr>
          <w:p>
            <w:pPr>
              <w:ind w:left="56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6,429</w:t>
            </w:r>
          </w:p>
        </w:tc>
        <w:tc>
          <w:tcPr>
            <w:tcW w:w="340" w:type="dxa"/>
            <w:vAlign w:val="bottom"/>
            <w:tcBorders>
              <w:top w:val="single" w:sz="8" w:color="CFF0FC"/>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5,768</w:t>
            </w:r>
          </w:p>
        </w:tc>
        <w:tc>
          <w:tcPr>
            <w:tcW w:w="320" w:type="dxa"/>
            <w:vAlign w:val="bottom"/>
            <w:tcBorders>
              <w:top w:val="single" w:sz="8" w:color="CFF0FC"/>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8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40" w:type="dxa"/>
            <w:vAlign w:val="bottom"/>
            <w:tcBorders>
              <w:top w:val="single" w:sz="8" w:color="CFF0FC"/>
            </w:tcBorders>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profit</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33,927</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26,330</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7,597</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9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8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1,940</w:t>
            </w: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14,823.1</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56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35,867</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26,343</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9,524</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Gross margin</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0"/>
              <w:spacing w:after="0"/>
              <w:rPr>
                <w:sz w:val="20"/>
                <w:szCs w:val="20"/>
                <w:color w:val="auto"/>
              </w:rPr>
            </w:pPr>
            <w:r>
              <w:rPr>
                <w:rFonts w:ascii="Arial" w:cs="Arial" w:eastAsia="Arial" w:hAnsi="Arial"/>
                <w:sz w:val="18"/>
                <w:szCs w:val="18"/>
                <w:color w:val="auto"/>
              </w:rPr>
              <w:t>Surgical Glaucoma</w:t>
            </w:r>
          </w:p>
        </w:tc>
        <w:tc>
          <w:tcPr>
            <w:tcW w:w="880" w:type="dxa"/>
            <w:vAlign w:val="bottom"/>
          </w:tcPr>
          <w:p>
            <w:pPr>
              <w:spacing w:after="0"/>
              <w:rPr>
                <w:sz w:val="20"/>
                <w:szCs w:val="20"/>
                <w:color w:val="auto"/>
              </w:rPr>
            </w:pPr>
          </w:p>
        </w:tc>
        <w:tc>
          <w:tcPr>
            <w:tcW w:w="900" w:type="dxa"/>
            <w:vAlign w:val="bottom"/>
            <w:gridSpan w:val="2"/>
          </w:tcPr>
          <w:p>
            <w:pPr>
              <w:jc w:val="right"/>
              <w:ind w:right="76"/>
              <w:spacing w:after="0"/>
              <w:rPr>
                <w:sz w:val="20"/>
                <w:szCs w:val="20"/>
                <w:color w:val="auto"/>
              </w:rPr>
            </w:pPr>
            <w:r>
              <w:rPr>
                <w:rFonts w:ascii="Arial" w:cs="Arial" w:eastAsia="Arial" w:hAnsi="Arial"/>
                <w:sz w:val="18"/>
                <w:szCs w:val="18"/>
                <w:i w:val="1"/>
                <w:iCs w:val="1"/>
                <w:color w:val="auto"/>
              </w:rPr>
              <w:t>87.6 %</w:t>
            </w:r>
          </w:p>
        </w:tc>
        <w:tc>
          <w:tcPr>
            <w:tcW w:w="980" w:type="dxa"/>
            <w:vAlign w:val="bottom"/>
          </w:tcPr>
          <w:p>
            <w:pPr>
              <w:spacing w:after="0"/>
              <w:rPr>
                <w:sz w:val="20"/>
                <w:szCs w:val="20"/>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i w:val="1"/>
                <w:iCs w:val="1"/>
                <w:color w:val="auto"/>
              </w:rPr>
              <w:t>88.4 %</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Dry Eye</w:t>
            </w:r>
          </w:p>
        </w:tc>
        <w:tc>
          <w:tcPr>
            <w:tcW w:w="8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76"/>
              <w:spacing w:after="0"/>
              <w:rPr>
                <w:sz w:val="20"/>
                <w:szCs w:val="20"/>
                <w:color w:val="auto"/>
              </w:rPr>
            </w:pPr>
            <w:r>
              <w:rPr>
                <w:rFonts w:ascii="Arial" w:cs="Arial" w:eastAsia="Arial" w:hAnsi="Arial"/>
                <w:sz w:val="18"/>
                <w:szCs w:val="18"/>
                <w:i w:val="1"/>
                <w:iCs w:val="1"/>
                <w:color w:val="auto"/>
              </w:rPr>
              <w:t>54.4 %</w:t>
            </w:r>
          </w:p>
        </w:tc>
        <w:tc>
          <w:tcPr>
            <w:tcW w:w="9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i w:val="1"/>
                <w:iCs w:val="1"/>
                <w:color w:val="auto"/>
              </w:rPr>
              <w:t>0.6 %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39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3960" w:type="dxa"/>
            <w:vAlign w:val="bottom"/>
          </w:tcPr>
          <w:p>
            <w:pPr>
              <w:ind w:left="560"/>
              <w:spacing w:after="0"/>
              <w:rPr>
                <w:sz w:val="20"/>
                <w:szCs w:val="20"/>
                <w:color w:val="auto"/>
              </w:rPr>
            </w:pPr>
            <w:r>
              <w:rPr>
                <w:rFonts w:ascii="Arial" w:cs="Arial" w:eastAsia="Arial" w:hAnsi="Arial"/>
                <w:sz w:val="18"/>
                <w:szCs w:val="18"/>
                <w:color w:val="auto"/>
              </w:rPr>
              <w:t>Total</w:t>
            </w:r>
          </w:p>
        </w:tc>
        <w:tc>
          <w:tcPr>
            <w:tcW w:w="880" w:type="dxa"/>
            <w:vAlign w:val="bottom"/>
          </w:tcPr>
          <w:p>
            <w:pPr>
              <w:spacing w:after="0"/>
              <w:rPr>
                <w:sz w:val="20"/>
                <w:szCs w:val="20"/>
                <w:color w:val="auto"/>
              </w:rPr>
            </w:pPr>
          </w:p>
        </w:tc>
        <w:tc>
          <w:tcPr>
            <w:tcW w:w="900" w:type="dxa"/>
            <w:vAlign w:val="bottom"/>
            <w:gridSpan w:val="2"/>
          </w:tcPr>
          <w:p>
            <w:pPr>
              <w:jc w:val="right"/>
              <w:ind w:right="76"/>
              <w:spacing w:after="0"/>
              <w:rPr>
                <w:sz w:val="20"/>
                <w:szCs w:val="20"/>
                <w:color w:val="auto"/>
              </w:rPr>
            </w:pPr>
            <w:r>
              <w:rPr>
                <w:rFonts w:ascii="Arial" w:cs="Arial" w:eastAsia="Arial" w:hAnsi="Arial"/>
                <w:sz w:val="18"/>
                <w:szCs w:val="18"/>
                <w:i w:val="1"/>
                <w:iCs w:val="1"/>
                <w:color w:val="auto"/>
              </w:rPr>
              <w:t xml:space="preserve">84.8 </w:t>
            </w:r>
            <w:r>
              <w:rPr>
                <w:rFonts w:ascii="Arial" w:cs="Arial" w:eastAsia="Arial" w:hAnsi="Arial"/>
                <w:sz w:val="18"/>
                <w:szCs w:val="18"/>
                <w:i w:val="1"/>
                <w:iCs w:val="1"/>
                <w:color w:val="auto"/>
                <w:highlight w:val="white"/>
              </w:rPr>
              <w:t>%</w:t>
            </w:r>
          </w:p>
        </w:tc>
        <w:tc>
          <w:tcPr>
            <w:tcW w:w="980" w:type="dxa"/>
            <w:vAlign w:val="bottom"/>
          </w:tcPr>
          <w:p>
            <w:pPr>
              <w:spacing w:after="0"/>
              <w:rPr>
                <w:sz w:val="20"/>
                <w:szCs w:val="20"/>
                <w:color w:val="auto"/>
              </w:rPr>
            </w:pPr>
          </w:p>
        </w:tc>
        <w:tc>
          <w:tcPr>
            <w:tcW w:w="920" w:type="dxa"/>
            <w:vAlign w:val="bottom"/>
            <w:gridSpan w:val="2"/>
          </w:tcPr>
          <w:p>
            <w:pPr>
              <w:jc w:val="right"/>
              <w:ind w:right="50"/>
              <w:spacing w:after="0"/>
              <w:rPr>
                <w:sz w:val="20"/>
                <w:szCs w:val="20"/>
                <w:color w:val="auto"/>
              </w:rPr>
            </w:pPr>
            <w:r>
              <w:rPr>
                <w:rFonts w:ascii="Arial" w:cs="Arial" w:eastAsia="Arial" w:hAnsi="Arial"/>
                <w:sz w:val="18"/>
                <w:szCs w:val="18"/>
                <w:i w:val="1"/>
                <w:iCs w:val="1"/>
                <w:color w:val="auto"/>
              </w:rPr>
              <w:t xml:space="preserve">82.0 </w:t>
            </w:r>
            <w:r>
              <w:rPr>
                <w:rFonts w:ascii="Arial" w:cs="Arial" w:eastAsia="Arial" w:hAnsi="Arial"/>
                <w:sz w:val="18"/>
                <w:szCs w:val="18"/>
                <w:i w:val="1"/>
                <w:iCs w:val="1"/>
                <w:color w:val="auto"/>
                <w:highlight w:val="white"/>
              </w:rPr>
              <w:t>%</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39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9,890</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11,573</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(1,683 )</w:t>
            </w:r>
          </w:p>
        </w:tc>
        <w:tc>
          <w:tcPr>
            <w:tcW w:w="4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(14.5 )</w:t>
            </w:r>
          </w:p>
        </w:tc>
        <w:tc>
          <w:tcPr>
            <w:tcW w:w="20" w:type="dxa"/>
            <w:vAlign w:val="bottom"/>
          </w:tcPr>
          <w:p>
            <w:pPr>
              <w:spacing w:after="0"/>
              <w:rPr>
                <w:sz w:val="20"/>
                <w:szCs w:val="20"/>
                <w:color w:val="auto"/>
              </w:rPr>
            </w:pPr>
          </w:p>
        </w:tc>
      </w:tr>
      <w:tr>
        <w:trPr>
          <w:trHeight w:val="243"/>
        </w:trPr>
        <w:tc>
          <w:tcPr>
            <w:tcW w:w="39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88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58,731</w:t>
            </w:r>
          </w:p>
        </w:tc>
        <w:tc>
          <w:tcPr>
            <w:tcW w:w="3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59,826</w:t>
            </w:r>
          </w:p>
        </w:tc>
        <w:tc>
          <w:tcPr>
            <w:tcW w:w="3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(1,095 )</w:t>
            </w:r>
          </w:p>
        </w:tc>
        <w:tc>
          <w:tcPr>
            <w:tcW w:w="4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(1.8 )</w:t>
            </w:r>
          </w:p>
        </w:tc>
        <w:tc>
          <w:tcPr>
            <w:tcW w:w="20" w:type="dxa"/>
            <w:vAlign w:val="bottom"/>
          </w:tcPr>
          <w:p>
            <w:pPr>
              <w:spacing w:after="0"/>
              <w:rPr>
                <w:sz w:val="21"/>
                <w:szCs w:val="21"/>
                <w:color w:val="auto"/>
              </w:rPr>
            </w:pPr>
          </w:p>
        </w:tc>
      </w:tr>
      <w:tr>
        <w:trPr>
          <w:trHeight w:val="20"/>
        </w:trPr>
        <w:tc>
          <w:tcPr>
            <w:tcW w:w="396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3960" w:type="dxa"/>
            <w:vAlign w:val="bottom"/>
          </w:tcPr>
          <w:p>
            <w:pPr>
              <w:ind w:left="560"/>
              <w:spacing w:after="0"/>
              <w:rPr>
                <w:sz w:val="20"/>
                <w:szCs w:val="20"/>
                <w:color w:val="auto"/>
              </w:rPr>
            </w:pPr>
            <w:r>
              <w:rPr>
                <w:rFonts w:ascii="Arial" w:cs="Arial" w:eastAsia="Arial" w:hAnsi="Arial"/>
                <w:sz w:val="18"/>
                <w:szCs w:val="18"/>
                <w:color w:val="auto"/>
              </w:rPr>
              <w:t>Total operating expenses</w:t>
            </w:r>
          </w:p>
        </w:tc>
        <w:tc>
          <w:tcPr>
            <w:tcW w:w="8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68,621</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71,399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(2,778 )</w:t>
            </w:r>
          </w:p>
        </w:tc>
        <w:tc>
          <w:tcPr>
            <w:tcW w:w="46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20"/>
                <w:szCs w:val="20"/>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tcBorders>
              <w:top w:val="single" w:sz="8" w:color="auto"/>
            </w:tcBorders>
            <w:shd w:val="clear" w:color="auto" w:fill="CFF0FC"/>
          </w:tcPr>
          <w:p>
            <w:pPr>
              <w:spacing w:after="0"/>
              <w:rPr>
                <w:sz w:val="21"/>
                <w:szCs w:val="21"/>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(32,754</w:t>
            </w:r>
          </w:p>
        </w:tc>
        <w:tc>
          <w:tcPr>
            <w:tcW w:w="34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FF0FC"/>
          </w:tcPr>
          <w:p>
            <w:pPr>
              <w:spacing w:after="0"/>
              <w:rPr>
                <w:sz w:val="21"/>
                <w:szCs w:val="21"/>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(45,056</w:t>
            </w:r>
          </w:p>
        </w:tc>
        <w:tc>
          <w:tcPr>
            <w:tcW w:w="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12,302</w:t>
            </w:r>
          </w:p>
        </w:tc>
        <w:tc>
          <w:tcPr>
            <w:tcW w:w="280" w:type="dxa"/>
            <w:vAlign w:val="bottom"/>
            <w:shd w:val="clear" w:color="auto" w:fill="CFF0FC"/>
          </w:tcPr>
          <w:p>
            <w:pPr>
              <w:spacing w:after="0"/>
              <w:rPr>
                <w:sz w:val="21"/>
                <w:szCs w:val="21"/>
                <w:color w:val="auto"/>
              </w:rPr>
            </w:pPr>
          </w:p>
        </w:tc>
        <w:tc>
          <w:tcPr>
            <w:tcW w:w="460" w:type="dxa"/>
            <w:vAlign w:val="bottom"/>
            <w:tcBorders>
              <w:top w:val="single" w:sz="8" w:color="auto"/>
            </w:tcBorders>
            <w:shd w:val="clear" w:color="auto" w:fill="CFF0FC"/>
          </w:tcPr>
          <w:p>
            <w:pPr>
              <w:spacing w:after="0"/>
              <w:rPr>
                <w:sz w:val="21"/>
                <w:szCs w:val="21"/>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20"/>
                <w:szCs w:val="20"/>
                <w:color w:val="auto"/>
              </w:rPr>
            </w:pPr>
          </w:p>
        </w:tc>
        <w:tc>
          <w:tcPr>
            <w:tcW w:w="900" w:type="dxa"/>
            <w:vAlign w:val="bottom"/>
            <w:gridSpan w:val="2"/>
          </w:tcPr>
          <w:p>
            <w:pPr>
              <w:jc w:val="right"/>
              <w:ind w:right="176"/>
              <w:spacing w:after="0"/>
              <w:rPr>
                <w:sz w:val="20"/>
                <w:szCs w:val="20"/>
                <w:color w:val="auto"/>
              </w:rPr>
            </w:pPr>
            <w:r>
              <w:rPr>
                <w:rFonts w:ascii="Arial" w:cs="Arial" w:eastAsia="Arial" w:hAnsi="Arial"/>
                <w:sz w:val="18"/>
                <w:szCs w:val="18"/>
                <w:color w:val="auto"/>
                <w:w w:val="99"/>
              </w:rPr>
              <w:t>(2,625 )</w:t>
            </w:r>
          </w:p>
        </w:tc>
        <w:tc>
          <w:tcPr>
            <w:tcW w:w="980" w:type="dxa"/>
            <w:vAlign w:val="bottom"/>
          </w:tcPr>
          <w:p>
            <w:pPr>
              <w:spacing w:after="0"/>
              <w:rPr>
                <w:sz w:val="20"/>
                <w:szCs w:val="20"/>
                <w:color w:val="auto"/>
              </w:rPr>
            </w:pPr>
          </w:p>
        </w:tc>
        <w:tc>
          <w:tcPr>
            <w:tcW w:w="920" w:type="dxa"/>
            <w:vAlign w:val="bottom"/>
            <w:gridSpan w:val="2"/>
          </w:tcPr>
          <w:p>
            <w:pPr>
              <w:jc w:val="right"/>
              <w:ind w:right="150"/>
              <w:spacing w:after="0"/>
              <w:rPr>
                <w:sz w:val="20"/>
                <w:szCs w:val="20"/>
                <w:color w:val="auto"/>
              </w:rPr>
            </w:pPr>
            <w:r>
              <w:rPr>
                <w:rFonts w:ascii="Arial" w:cs="Arial" w:eastAsia="Arial" w:hAnsi="Arial"/>
                <w:sz w:val="18"/>
                <w:szCs w:val="18"/>
                <w:color w:val="auto"/>
              </w:rPr>
              <w:t>(2,112 )</w:t>
            </w:r>
          </w:p>
        </w:tc>
        <w:tc>
          <w:tcPr>
            <w:tcW w:w="4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(513 )</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3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net</w:t>
            </w:r>
          </w:p>
        </w:tc>
        <w:tc>
          <w:tcPr>
            <w:tcW w:w="88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3,580</w:t>
            </w:r>
          </w:p>
        </w:tc>
        <w:tc>
          <w:tcPr>
            <w:tcW w:w="34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3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w:t>
            </w:r>
          </w:p>
        </w:tc>
        <w:tc>
          <w:tcPr>
            <w:tcW w:w="28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4,375.0</w:t>
            </w:r>
          </w:p>
        </w:tc>
        <w:tc>
          <w:tcPr>
            <w:tcW w:w="140" w:type="dxa"/>
            <w:vAlign w:val="bottom"/>
            <w:tcBorders>
              <w:bottom w:val="single" w:sz="8" w:color="CFF0FC"/>
            </w:tcBorders>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92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Loss before income tax</w:t>
            </w:r>
          </w:p>
        </w:tc>
        <w:tc>
          <w:tcPr>
            <w:tcW w:w="88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76"/>
              <w:spacing w:after="0"/>
              <w:rPr>
                <w:sz w:val="20"/>
                <w:szCs w:val="20"/>
                <w:color w:val="auto"/>
              </w:rPr>
            </w:pPr>
            <w:r>
              <w:rPr>
                <w:rFonts w:ascii="Arial" w:cs="Arial" w:eastAsia="Arial" w:hAnsi="Arial"/>
                <w:sz w:val="18"/>
                <w:szCs w:val="18"/>
                <w:color w:val="auto"/>
                <w:w w:val="85"/>
              </w:rPr>
              <w:t>(31,799 )</w:t>
            </w:r>
          </w:p>
        </w:tc>
        <w:tc>
          <w:tcPr>
            <w:tcW w:w="9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w w:val="91"/>
              </w:rPr>
              <w:t>(47,088 )</w:t>
            </w:r>
          </w:p>
        </w:tc>
        <w:tc>
          <w:tcPr>
            <w:tcW w:w="4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15,289</w:t>
            </w:r>
          </w:p>
        </w:tc>
        <w:tc>
          <w:tcPr>
            <w:tcW w:w="28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(32.5 )</w:t>
            </w:r>
          </w:p>
        </w:tc>
        <w:tc>
          <w:tcPr>
            <w:tcW w:w="20" w:type="dxa"/>
            <w:vAlign w:val="bottom"/>
          </w:tcPr>
          <w:p>
            <w:pPr>
              <w:spacing w:after="0"/>
              <w:rPr>
                <w:sz w:val="21"/>
                <w:szCs w:val="21"/>
                <w:color w:val="auto"/>
              </w:rPr>
            </w:pPr>
          </w:p>
        </w:tc>
      </w:tr>
      <w:tr>
        <w:trPr>
          <w:trHeight w:val="237"/>
        </w:trPr>
        <w:tc>
          <w:tcPr>
            <w:tcW w:w="3960" w:type="dxa"/>
            <w:vAlign w:val="bottom"/>
          </w:tcPr>
          <w:p>
            <w:pPr>
              <w:ind w:left="20"/>
              <w:spacing w:after="0"/>
              <w:rPr>
                <w:sz w:val="20"/>
                <w:szCs w:val="20"/>
                <w:color w:val="auto"/>
              </w:rPr>
            </w:pPr>
            <w:r>
              <w:rPr>
                <w:rFonts w:ascii="Arial" w:cs="Arial" w:eastAsia="Arial" w:hAnsi="Arial"/>
                <w:sz w:val="18"/>
                <w:szCs w:val="18"/>
                <w:color w:val="auto"/>
              </w:rPr>
              <w:t>Provision (benefit) for income tax</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0"/>
                <w:szCs w:val="20"/>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83"/>
        </w:trPr>
        <w:tc>
          <w:tcPr>
            <w:tcW w:w="3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 and comprehensive loss</w:t>
            </w:r>
          </w:p>
        </w:tc>
        <w:tc>
          <w:tcPr>
            <w:tcW w:w="880" w:type="dxa"/>
            <w:vAlign w:val="bottom"/>
            <w:tcBorders>
              <w:bottom w:val="single" w:sz="8" w:color="auto"/>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(31,821</w:t>
            </w:r>
          </w:p>
        </w:tc>
        <w:tc>
          <w:tcPr>
            <w:tcW w:w="340" w:type="dxa"/>
            <w:vAlign w:val="bottom"/>
            <w:tcBorders>
              <w:bottom w:val="single" w:sz="8" w:color="CFF0FC"/>
            </w:tcBorders>
            <w:shd w:val="clear" w:color="auto" w:fill="CFF0FC"/>
          </w:tcPr>
          <w:p>
            <w:pPr>
              <w:jc w:val="right"/>
              <w:ind w:right="1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spacing w:after="0"/>
              <w:rPr>
                <w:sz w:val="24"/>
                <w:szCs w:val="2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(47,106</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15,285</w:t>
            </w:r>
          </w:p>
        </w:tc>
        <w:tc>
          <w:tcPr>
            <w:tcW w:w="28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-32.4 %</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-3796665</wp:posOffset>
            </wp:positionV>
            <wp:extent cx="85725" cy="1631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-3796665</wp:posOffset>
            </wp:positionV>
            <wp:extent cx="85725"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-3796665</wp:posOffset>
            </wp:positionV>
            <wp:extent cx="85725"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-3796665</wp:posOffset>
            </wp:positionV>
            <wp:extent cx="85725" cy="1631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-3171190</wp:posOffset>
            </wp:positionV>
            <wp:extent cx="85725" cy="1631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-3171190</wp:posOffset>
            </wp:positionV>
            <wp:extent cx="85725" cy="1631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-3171190</wp:posOffset>
            </wp:positionV>
            <wp:extent cx="85725" cy="1631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-3171190</wp:posOffset>
            </wp:positionV>
            <wp:extent cx="85725" cy="1631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-2545715</wp:posOffset>
            </wp:positionV>
            <wp:extent cx="85725" cy="1631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-2545715</wp:posOffset>
            </wp:positionV>
            <wp:extent cx="85725" cy="1631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-2545715</wp:posOffset>
            </wp:positionV>
            <wp:extent cx="85725" cy="1631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-2545715</wp:posOffset>
            </wp:positionV>
            <wp:extent cx="85725" cy="1631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-1919605</wp:posOffset>
            </wp:positionV>
            <wp:extent cx="85725"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-1919605</wp:posOffset>
            </wp:positionV>
            <wp:extent cx="85725"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-1294130</wp:posOffset>
            </wp:positionV>
            <wp:extent cx="85725" cy="1714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-1294130</wp:posOffset>
            </wp:positionV>
            <wp:extent cx="85725" cy="1714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-1294130</wp:posOffset>
            </wp:positionV>
            <wp:extent cx="85725"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-1294130</wp:posOffset>
            </wp:positionV>
            <wp:extent cx="85725"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-659765</wp:posOffset>
            </wp:positionV>
            <wp:extent cx="85725"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-659765</wp:posOffset>
            </wp:positionV>
            <wp:extent cx="85725" cy="1625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-659765</wp:posOffset>
            </wp:positionV>
            <wp:extent cx="85725" cy="1625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-659765</wp:posOffset>
            </wp:positionV>
            <wp:extent cx="85725" cy="16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-25400</wp:posOffset>
            </wp:positionV>
            <wp:extent cx="8572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-8255</wp:posOffset>
            </wp:positionV>
            <wp:extent cx="857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-25400</wp:posOffset>
            </wp:positionV>
            <wp:extent cx="857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857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-25400</wp:posOffset>
            </wp:positionV>
            <wp:extent cx="8572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857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82"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i w:val="1"/>
          <w:iCs w:val="1"/>
          <w:color w:val="auto"/>
        </w:rPr>
        <w:t>Revenue</w:t>
      </w:r>
      <w:r>
        <w:rPr>
          <w:rFonts w:ascii="Arial" w:cs="Arial" w:eastAsia="Arial" w:hAnsi="Arial"/>
          <w:sz w:val="17"/>
          <w:szCs w:val="17"/>
          <w:color w:val="auto"/>
        </w:rPr>
        <w:t>. Revenue for the six months ended June 30, 2023 was $42.3 million, an increase of $10.2 million, or 31.7%, from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comparable period. The overall increase in Surgical Glaucoma revenue was primarily attributable to an increase in the number of OMNI and SION units sold in the six months ended June 30, 2023. This growth in units was driven by both a growth in the number of facilities ordering OMNI and SION, as well as an increase in unit utilization per ordering facility. Our Dry Eye revenue increased in the six months ended June 30, 2023 versus the comparable period in 2022 due to the continued growth in our customer base and an increase in total TearCare procedures performed. Surgical Glaucoma sales represented 91.6% and 92.7% of our total revenue generated in the six months ended June 30, 2023 and 2022, respectively.</w:t>
      </w:r>
    </w:p>
    <w:p>
      <w:pPr>
        <w:spacing w:after="0" w:line="178"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i w:val="1"/>
          <w:iCs w:val="1"/>
          <w:color w:val="auto"/>
        </w:rPr>
        <w:t>Cost of Goods Sold and Gross Profit</w:t>
      </w:r>
      <w:r>
        <w:rPr>
          <w:rFonts w:ascii="Arial" w:cs="Arial" w:eastAsia="Arial" w:hAnsi="Arial"/>
          <w:sz w:val="18"/>
          <w:szCs w:val="18"/>
          <w:color w:val="auto"/>
        </w:rPr>
        <w:t>. Cost of goods sold increased $0.7 million during the six months June 30, 2023 compared to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comparable period. Our Surgical Glaucoma cost of goods sold increased $1.4 million as compared to the comparable period in 2022. The increase was driven by increased sales activity, and product mix, partially offset by lower per unit production costs as a result of continued manufacturing efficiencies. Dry Eye cost of goods sold decreased $0.7 million in the six months ended June 30, 2023 over the comparable period in 2022 driven primarily by prior year charges associated with the voluntary recall of our SmartHub 1.0 devices.</w:t>
      </w:r>
    </w:p>
    <w:p>
      <w:pPr>
        <w:spacing w:after="0" w:line="188" w:lineRule="exact"/>
        <w:rPr>
          <w:sz w:val="20"/>
          <w:szCs w:val="20"/>
          <w:color w:val="auto"/>
        </w:rPr>
      </w:pPr>
    </w:p>
    <w:p>
      <w:pPr>
        <w:ind w:right="60" w:firstLine="509"/>
        <w:spacing w:after="0" w:line="263" w:lineRule="auto"/>
        <w:rPr>
          <w:sz w:val="20"/>
          <w:szCs w:val="20"/>
          <w:color w:val="auto"/>
        </w:rPr>
      </w:pPr>
      <w:r>
        <w:rPr>
          <w:rFonts w:ascii="Arial" w:cs="Arial" w:eastAsia="Arial" w:hAnsi="Arial"/>
          <w:sz w:val="18"/>
          <w:szCs w:val="18"/>
          <w:color w:val="auto"/>
        </w:rPr>
        <w:t>Our total gross profit was $35.9 million in the six months ended June 30, 2023, an increase of $9.5 million from the comparable period in 2022. Our total gross margin for the six months ended June 30, 2023, increased to 84.8%, up from 82.0% in the prior year comparable period primarily related to charges from the voluntary recall in</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27" w:name="page28"/>
    <w:bookmarkEnd w:id="27"/>
    <w:p>
      <w:pPr>
        <w:ind w:right="40"/>
        <w:spacing w:after="0" w:line="301" w:lineRule="auto"/>
        <w:rPr>
          <w:sz w:val="20"/>
          <w:szCs w:val="20"/>
          <w:color w:val="auto"/>
        </w:rPr>
      </w:pPr>
      <w:r>
        <w:rPr>
          <w:rFonts w:ascii="Arial" w:cs="Arial" w:eastAsia="Arial" w:hAnsi="Arial"/>
          <w:sz w:val="16"/>
          <w:szCs w:val="16"/>
          <w:color w:val="auto"/>
        </w:rPr>
        <w:t>our Dry Eye segment mentioned above. Gross margin in our Surgical Glaucoma segment was 87.6% for the six months ended June 30, 2023, a decrease from 88.4% for the prior year comparable period primarily driven by a one-time write-off of inventory components as we transitioned to our next-generation OMNI device and product mix. In our Dry Eye segment, gross margin increased from 0.6% in the six months ended June 30, 2022, to 54.4% for the six months ended June 30, 2023, primarily driven by the impact of the previously announced voluntary recall of SmartHub 1.0 devices in Q1 2022.</w:t>
      </w:r>
    </w:p>
    <w:p>
      <w:pPr>
        <w:spacing w:after="0" w:line="157" w:lineRule="exact"/>
        <w:rPr>
          <w:sz w:val="20"/>
          <w:szCs w:val="20"/>
          <w:color w:val="auto"/>
        </w:rPr>
      </w:pPr>
    </w:p>
    <w:p>
      <w:pPr>
        <w:ind w:right="20" w:firstLine="509"/>
        <w:spacing w:after="0" w:line="286" w:lineRule="auto"/>
        <w:rPr>
          <w:sz w:val="20"/>
          <w:szCs w:val="20"/>
          <w:color w:val="auto"/>
        </w:rPr>
      </w:pPr>
      <w:r>
        <w:rPr>
          <w:rFonts w:ascii="Arial" w:cs="Arial" w:eastAsia="Arial" w:hAnsi="Arial"/>
          <w:sz w:val="17"/>
          <w:szCs w:val="17"/>
          <w:i w:val="1"/>
          <w:iCs w:val="1"/>
          <w:color w:val="auto"/>
        </w:rPr>
        <w:t>Research and Development Expenses</w:t>
      </w:r>
      <w:r>
        <w:rPr>
          <w:rFonts w:ascii="Arial" w:cs="Arial" w:eastAsia="Arial" w:hAnsi="Arial"/>
          <w:sz w:val="17"/>
          <w:szCs w:val="17"/>
          <w:color w:val="auto"/>
        </w:rPr>
        <w:t>. The $1.7 million decrease in R&amp;D expenses during the six months ended June 30, 2023 compared to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2022 was primarily attributable to a $0.5 million decrease in costs associated with clinical studies and general R&amp;D. In addition, the Company saw a $0.4 million decrease in personnel costs, and a $0.2 million decrease in consulting and professional services.</w:t>
      </w:r>
    </w:p>
    <w:p>
      <w:pPr>
        <w:spacing w:after="0" w:line="165" w:lineRule="exact"/>
        <w:rPr>
          <w:sz w:val="20"/>
          <w:szCs w:val="20"/>
          <w:color w:val="auto"/>
        </w:rPr>
      </w:pPr>
    </w:p>
    <w:p>
      <w:pPr>
        <w:ind w:right="200" w:firstLine="509"/>
        <w:spacing w:after="0" w:line="301"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SG&amp;A expenses were $58.7 million for the six months ended June 30, 2023, a decrease of $1.1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from the prior year comparable period. The decrease was primarily attributable to a $1.6 million decrease in marketing expenses, a $1.6 million decrease in consulting expenses and a $0.4 million decrease in facilities expenses. These decreases were offset by a $1.2 million increase in commissions expense, a $0.6 million increase in accounting and related expenses, and a $0.3 million increase in stock-based compensation expense.</w:t>
      </w:r>
    </w:p>
    <w:p>
      <w:pPr>
        <w:spacing w:after="0" w:line="157" w:lineRule="exact"/>
        <w:rPr>
          <w:sz w:val="20"/>
          <w:szCs w:val="20"/>
          <w:color w:val="auto"/>
        </w:rPr>
      </w:pPr>
    </w:p>
    <w:p>
      <w:pPr>
        <w:ind w:right="320" w:firstLine="509"/>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$0.5 million, as the Company saw an increase in lending rates during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2023 compared to the six months ended June 30, 2022.</w:t>
      </w:r>
    </w:p>
    <w:p>
      <w:pPr>
        <w:spacing w:after="0" w:line="170" w:lineRule="exact"/>
        <w:rPr>
          <w:sz w:val="20"/>
          <w:szCs w:val="20"/>
          <w:color w:val="auto"/>
        </w:rPr>
      </w:pPr>
    </w:p>
    <w:p>
      <w:pPr>
        <w:jc w:val="both"/>
        <w:ind w:right="60" w:firstLine="509"/>
        <w:spacing w:after="0" w:line="263"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was $3.6 million for the six months ended June 30, 2023 as compared to $0.1 million in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2022. The income is attributable to the amortization of purchase discounts on held-to-maturity cash-equivalent investments. The Company began investing in treasury securities in June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6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760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169"/>
        </w:trPr>
        <w:tc>
          <w:tcPr>
            <w:tcW w:w="7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spacing w:after="0"/>
              <w:rPr>
                <w:sz w:val="14"/>
                <w:szCs w:val="14"/>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(30,872 )</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(40,271 )</w:t>
            </w: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(223 )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(569 )</w:t>
            </w: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3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4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Net (decrease) increase in cash</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(30,485 )</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(40,590 )</w:t>
            </w:r>
          </w:p>
        </w:tc>
      </w:tr>
      <w:tr>
        <w:trPr>
          <w:trHeight w:val="20"/>
        </w:trPr>
        <w:tc>
          <w:tcPr>
            <w:tcW w:w="76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-187960</wp:posOffset>
            </wp:positionV>
            <wp:extent cx="85725" cy="1885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-187960</wp:posOffset>
            </wp:positionV>
            <wp:extent cx="85725" cy="1885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188595"/>
                    </a:xfrm>
                    <a:prstGeom prst="rect">
                      <a:avLst/>
                    </a:prstGeom>
                    <a:noFill/>
                  </pic:spPr>
                </pic:pic>
              </a:graphicData>
            </a:graphic>
          </wp:anchor>
        </w:drawing>
      </w:r>
    </w:p>
    <w:p>
      <w:pPr>
        <w:spacing w:after="0" w:line="3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117"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Net cash used in operating activities for the six months ended June 30, 2023 was $30.9 million, consisting primarily of a net loss of $31.8 million and a net change in our operating assets and liabilities of $7.7 million, partially offset by non-cash charges of $8.7 million. The net change in our operating assets and liabilities was primarily due to a $3.0 million increase in accounts receivable and a $2.0 million increase in inventory to support the continued growth of our operations. We had a $0.2 million increase in accounts payable, while accrued compensation and accrued and other current liabilities decreased by an aggregate of $4.5 million, primarily driven by the timing of payments on invoices and bonuses. The non-cash charges primarily consisted of $7.3 million related to stock-based compensation, $0.5 million of noncash operating lease expense, $0.3 million of depreciation, and $0.3 million of accretion of debt discount and amortization of debt issuance costs.</w:t>
      </w:r>
    </w:p>
    <w:p>
      <w:pPr>
        <w:spacing w:after="0" w:line="177" w:lineRule="exact"/>
        <w:rPr>
          <w:sz w:val="20"/>
          <w:szCs w:val="20"/>
          <w:color w:val="auto"/>
        </w:rPr>
      </w:pPr>
    </w:p>
    <w:p>
      <w:pPr>
        <w:ind w:right="80" w:firstLine="509"/>
        <w:spacing w:after="0" w:line="311" w:lineRule="auto"/>
        <w:rPr>
          <w:sz w:val="20"/>
          <w:szCs w:val="20"/>
          <w:color w:val="auto"/>
        </w:rPr>
      </w:pPr>
      <w:r>
        <w:rPr>
          <w:rFonts w:ascii="Arial" w:cs="Arial" w:eastAsia="Arial" w:hAnsi="Arial"/>
          <w:sz w:val="16"/>
          <w:szCs w:val="16"/>
          <w:color w:val="auto"/>
        </w:rPr>
        <w:t>Net cash used in operating activities for the six months ended June 30, 2022 was $40.3 million, consisting primarily of a net loss of $47.1 million and a net change in our operating assets and liabilities of $0.9 million, partially offset by non-cash charges of $7.7 million. The change in our net operating assets and liabilities was primarily due to a $1.9 million increase in accounts receivable and a $1.6 million increase in inventory to support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ind w:right="220"/>
        <w:spacing w:after="0" w:line="301" w:lineRule="auto"/>
        <w:rPr>
          <w:sz w:val="20"/>
          <w:szCs w:val="20"/>
          <w:color w:val="auto"/>
        </w:rPr>
      </w:pPr>
      <w:r>
        <w:rPr>
          <w:rFonts w:ascii="Arial" w:cs="Arial" w:eastAsia="Arial" w:hAnsi="Arial"/>
          <w:sz w:val="16"/>
          <w:szCs w:val="16"/>
          <w:color w:val="auto"/>
        </w:rPr>
        <w:t>the continued growth of our operations. Prepaid expenses decreased by $2.1 million as balances on annual prepaid contracts decreased during the period. We also had a $0.6 million decrease in accounts payable, while accrued and other current liabilities increased $0.6 million, driven by the timing of payments on invoices and bonuses. The non-cash charges primarily consisted of $6.5 million related to stock-based compensation, $0.4 million of depreciation, $0.3 million of accretion of debt discount and amortization of debt issuance costs, and $0.2 million of noncash operating lease expense.</w:t>
      </w:r>
    </w:p>
    <w:p>
      <w:pPr>
        <w:spacing w:after="0" w:line="2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Net cash used in investing activities in the six months ended June 30, 2023 and 2022 was $0.2 million and $0.6 million, respectively, in both cases for purchases of property and equipment.</w:t>
      </w:r>
    </w:p>
    <w:p>
      <w:pPr>
        <w:spacing w:after="0" w:line="27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117"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Net cash provided by financing activities in the six months ended June 30, 2023 of $0.6 million primarily relates to the exercise of common stock options and proceeds from ESPP purchases, partially offset by taxes paid on the net share settlement of RSUs.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Net cash provided by financing activities in the six months ended June 30, 2022 related to proceeds from stock option exercises.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231F20"/>
        </w:rPr>
        <w:t>To date, our primary sources of capital have been private placements of redeemable convertible preferred stock, debt financing agreements, the sale of common stock in our IPO, and revenue from the sale of our products. Since our inception, we have raised an aggregate of approximately $402.4 million in net proceeds from sales of our redeemable convertible preferred stock and common stock and borrowed $32.9 million of net proceeds under our term loans.</w:t>
      </w:r>
    </w:p>
    <w:p>
      <w:pPr>
        <w:spacing w:after="0" w:line="18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As of June 30, 2023, we had cash and cash equivalents of $154.5 million, an accumulated deficit of $271.1 million and $35.0 million outstanding under our term loan agreement (before debt discount and amortized debt issuance costs). Based on our current planned operations, we expect revenue from sales of our products, our cash and cash equivalents and additional borrowings available under our revolving credit facility will enable us to fund our operations for at least the next 12 months and the foreseeable future.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MidCap Credit Facility</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As of June 30, 2023, the Company had two credit and security agreements with certain entities affiliated with MidCap Financial Services (such entities collectively, the “Lender”), which provided for a maximum $40.0 million credit facility, consisting of a $35.0 million senior secured term loan (the “Term Loan”) and a $5.0 million revolving loan (the “Revolver” and collectively with the Term Loan, the "MidCap Credit Facility"). On July 20, 2023, the Company and the agent for Lender entered into certain payoff and termination agreements pursuant to which, effective as of July 21, 2023, the Company paid off and discharged all of its obligations under the agreement evidencing the Revolver and the Revolver terminated in accordance with the provisions of the payoff and termination agreements. The Term Loan agreement remains in effect.</w:t>
      </w:r>
    </w:p>
    <w:p>
      <w:pPr>
        <w:spacing w:after="0" w:line="70"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231F20"/>
        </w:rPr>
        <w:t>Our obligations under the Term Loan agreement are guaranteed by us and our future subsidiaries, subject to exceptions for certain foreign subsidiaries and secured by substantially all of our assets, including our material intellectual property. Additionally, we are subject to customary affirmative and negative covenants, including covenants that limit or restrict the ability of us to, among other things, incur indebtedness, grant liens, merge or consolidate, make investments, dispose of assets, make acquisitions, pay dividends or make distributions, repurchase stock and enter into certain transactions with affiliates, in each case subject to certain exceptions. As of June 30, 2023, we were in compliance with all financial and non-financial covenants under the MidCap Credit Facility.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280" w:firstLine="509"/>
        <w:spacing w:after="0" w:line="277" w:lineRule="auto"/>
        <w:rPr>
          <w:sz w:val="20"/>
          <w:szCs w:val="20"/>
          <w:color w:val="auto"/>
        </w:rPr>
      </w:pPr>
      <w:r>
        <w:rPr>
          <w:rFonts w:ascii="Arial" w:cs="Arial" w:eastAsia="Arial" w:hAnsi="Arial"/>
          <w:sz w:val="18"/>
          <w:szCs w:val="18"/>
          <w:color w:val="231F20"/>
        </w:rPr>
        <w:t>The Term Loan agreement contains events of default that include, among others, non-payment of principal, interest or fees, breach of covenants, inaccuracy of representations and warranties, cross-defaults and bankruptcy and insolvency events.</w:t>
      </w:r>
    </w:p>
    <w:p>
      <w:pPr>
        <w:spacing w:after="0" w:line="62" w:lineRule="exact"/>
        <w:rPr>
          <w:sz w:val="20"/>
          <w:szCs w:val="20"/>
          <w:color w:val="auto"/>
        </w:rPr>
      </w:pPr>
    </w:p>
    <w:p>
      <w:pPr>
        <w:ind w:right="180" w:firstLine="509"/>
        <w:spacing w:after="0" w:line="308" w:lineRule="auto"/>
        <w:rPr>
          <w:sz w:val="20"/>
          <w:szCs w:val="20"/>
          <w:color w:val="auto"/>
        </w:rPr>
      </w:pPr>
      <w:r>
        <w:rPr>
          <w:rFonts w:ascii="Arial" w:cs="Arial" w:eastAsia="Arial" w:hAnsi="Arial"/>
          <w:sz w:val="17"/>
          <w:szCs w:val="17"/>
          <w:color w:val="231F20"/>
        </w:rPr>
        <w:t>We incurred $0.7 million of issuance costs in conjunction with the Term Loan which were netted against the borrowed funds in the balance sheets and are being accreted using the effective interest method as interest expense over the contractual period of the Term Loan.</w:t>
      </w:r>
    </w:p>
    <w:p>
      <w:pPr>
        <w:spacing w:after="0" w:line="38" w:lineRule="exact"/>
        <w:rPr>
          <w:sz w:val="20"/>
          <w:szCs w:val="20"/>
          <w:color w:val="auto"/>
        </w:rPr>
      </w:pPr>
    </w:p>
    <w:p>
      <w:pPr>
        <w:ind w:right="100" w:firstLine="509"/>
        <w:spacing w:after="0" w:line="275" w:lineRule="auto"/>
        <w:rPr>
          <w:sz w:val="20"/>
          <w:szCs w:val="20"/>
          <w:color w:val="auto"/>
        </w:rPr>
      </w:pPr>
      <w:r>
        <w:rPr>
          <w:rFonts w:ascii="Arial" w:cs="Arial" w:eastAsia="Arial" w:hAnsi="Arial"/>
          <w:sz w:val="17"/>
          <w:szCs w:val="17"/>
          <w:color w:val="231F20"/>
        </w:rPr>
        <w:t xml:space="preserve">The Term Loan agreement includes a maturity date of November 1, 2025 and includes a stated floating interest rate that is reserve-adjusted SOFR, </w:t>
      </w:r>
      <w:r>
        <w:rPr>
          <w:rFonts w:ascii="Arial" w:cs="Arial" w:eastAsia="Arial" w:hAnsi="Arial"/>
          <w:sz w:val="17"/>
          <w:szCs w:val="17"/>
          <w:i w:val="1"/>
          <w:iCs w:val="1"/>
          <w:color w:val="231F20"/>
        </w:rPr>
        <w:t xml:space="preserve">plus </w:t>
      </w:r>
      <w:r>
        <w:rPr>
          <w:rFonts w:ascii="Arial" w:cs="Arial" w:eastAsia="Arial" w:hAnsi="Arial"/>
          <w:sz w:val="17"/>
          <w:szCs w:val="17"/>
          <w:color w:val="231F20"/>
        </w:rPr>
        <w:t>7.00%. Principal payments under the Term Loan are scheduled to begin in December 2023. However, we currently expect to meet certain conditions,</w:t>
      </w:r>
      <w:r>
        <w:rPr>
          <w:rFonts w:ascii="Arial" w:cs="Arial" w:eastAsia="Arial" w:hAnsi="Arial"/>
          <w:sz w:val="17"/>
          <w:szCs w:val="17"/>
          <w:i w:val="1"/>
          <w:iCs w:val="1"/>
          <w:color w:val="231F20"/>
        </w:rPr>
        <w:t xml:space="preserve"> </w:t>
      </w:r>
      <w:r>
        <w:rPr>
          <w:rFonts w:ascii="Arial" w:cs="Arial" w:eastAsia="Arial" w:hAnsi="Arial"/>
          <w:sz w:val="17"/>
          <w:szCs w:val="17"/>
          <w:color w:val="231F20"/>
        </w:rPr>
        <w:t>which, if satisfied, will delay the commencement of principal payments to December 2024. In addition, the Term Loan contains a provision for a final payment fee of 6.0% of the $35.0 million Term Loan balance, which has been partially accrued and recorded as a long-term interest payable in other noncurrent liabilities of $1.4 million as of June 30, 2023 and $1.2 million as of December 31, 2022.</w:t>
      </w:r>
    </w:p>
    <w:p>
      <w:pPr>
        <w:spacing w:after="0" w:line="176"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231F20"/>
        </w:rPr>
        <w:t>In conjunction with the initial funding of the Term Loan in 2020, we issued a ten-year warrant to the Lender to purchase 300,000 shares of our Series F redeemable convertible preferred stock at an exercise price of $21.88 per share, or the MidCap Warrant, with the estimated fair value of $1.8 million. The MidCap Warrants were recorded at the fair value as a debt discount and as a warrant liability. The debt discount is being accreted using the effective interest method as interest expense over the contractual period of the Term Loan. The MidCap Warrant was automatically converted into a common stock warrant in connection with the IPO and subsequently exercised in the third quarter of fiscal year 2021. Accordingly, the MidCap Warrant no longer remains outstanding.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Our corporate headquarters are located in Menlo Park, California, where we lease approximately 11,000 square feet of office, research and development, engineering and laboratory space pursuant to a lease that commenced on August 1, 2021, and expires on August 31, 2024. We also lease approximately 2,040 square feet of office space, which is primarily used by our commercial leadership team, in Southlake, Texas, pursuant to a lease that commenced on April 30, 2019 and expires on May 15, 2024.</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60" w:firstLine="509"/>
        <w:spacing w:after="0" w:line="296" w:lineRule="auto"/>
        <w:rPr>
          <w:sz w:val="20"/>
          <w:szCs w:val="20"/>
          <w:color w:val="auto"/>
        </w:rPr>
      </w:pPr>
      <w:r>
        <w:rPr>
          <w:rFonts w:ascii="Arial" w:cs="Arial" w:eastAsia="Arial" w:hAnsi="Arial"/>
          <w:sz w:val="16"/>
          <w:szCs w:val="16"/>
          <w:color w:val="auto"/>
        </w:rPr>
        <w:t>Our condensed consolidated financial statements included elsewhere in this Quarterly Report are prepared in accordance with GAAP. The preparation of these condensed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1" w:lineRule="exact"/>
        <w:rPr>
          <w:sz w:val="20"/>
          <w:szCs w:val="20"/>
          <w:color w:val="auto"/>
        </w:rPr>
      </w:pPr>
    </w:p>
    <w:p>
      <w:pPr>
        <w:ind w:right="40" w:firstLine="509"/>
        <w:spacing w:after="0" w:line="301"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stock-based compensation has the greatest potential impact on our condensed consolidated financial statements. Therefore, we consider this to be a critical accounting estimate.</w:t>
      </w:r>
    </w:p>
    <w:p>
      <w:pPr>
        <w:spacing w:after="0" w:line="15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consolidated financial statements for the year ended December 31, 2022, included under the heading “Management’s Discussion and Analysis of Financial Condition and Results of Operations—Critical Accounting Policies and Estimates” in our 2022 Form 10-K and in Note 2 to our condensed consolidated financial statements in this Quarterly Report.</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The Jumpstart Our Business Startups Act of 2012 (JOBS Act) permits an “emerging growth company” such as us to take advantage of an extended transition period to comply with new or revised accounting standards applicable to public companies.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 statements to those of other public companies more difficult.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As of June 30, 2023, there are no significant Accounting Standard Updates (ASUs) issued and not yet adopted, that are expected to have a material impact on the Company's financial statements and related disclosures.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risk and foreign currency exchange rate risk. There have been no material changes to such risks from those described in our 2022 Form 10-K under the heading "Quantitative and Qualitative Disclosures About Market Risk."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Our management, with the participation and supervision of our principal executive officer and our principal financial and accounting officer, evaluated our disclosure controls and procedures (as defined in Rules 13a-15(e) and 15d-15(e) under the Exchange Act). The term "disclosure controls and procedures,"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officer, principal financial officer and principal accounting officer, as appropriate to allow timely decisions regarding required disclosure.</w:t>
      </w:r>
    </w:p>
    <w:p>
      <w:pPr>
        <w:spacing w:after="0" w:line="8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Based on this evaluation, our principal executive officer and our principal financial and accounting officer concluded that, as a result of the material weakness in our internal control over financial reporting described below, as of the end of the period covered by this Quarterly Report, our disclosure controls and procedures were not effective. However, our management, including our principal executive officer and our principal financial and accounting officer, has concluded that, notwithstanding the identified material weakness in our internal control over financial reporting, the condensed consolidated financial statements in this Quarterly Report fairly present, in all material respects, our financial position, results of operations, and cash flows for the periods presented in conformity with GAAP.</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on Previously Reported Material Weaknesses</w:t>
      </w:r>
    </w:p>
    <w:p>
      <w:pPr>
        <w:spacing w:after="0" w:line="121"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 xml:space="preserve">In connection with the preparation of our financial statements in connection with our IPO, we identified a material weakness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related to a lack of </w:t>
      </w:r>
      <w:r>
        <w:rPr>
          <w:rFonts w:ascii="Arial" w:cs="Arial" w:eastAsia="Arial" w:hAnsi="Arial"/>
          <w:sz w:val="18"/>
          <w:szCs w:val="18"/>
          <w:color w:val="231F20"/>
        </w:rPr>
        <w:t>sufficient full-time accounting personnel with requisite experience and deep technical accounting knowledge to (i)</w:t>
      </w:r>
      <w:r>
        <w:rPr>
          <w:rFonts w:ascii="Arial" w:cs="Arial" w:eastAsia="Arial" w:hAnsi="Arial"/>
          <w:sz w:val="18"/>
          <w:szCs w:val="18"/>
          <w:color w:val="auto"/>
        </w:rPr>
        <w:t xml:space="preserve"> </w:t>
      </w:r>
      <w:r>
        <w:rPr>
          <w:rFonts w:ascii="Arial" w:cs="Arial" w:eastAsia="Arial" w:hAnsi="Arial"/>
          <w:sz w:val="18"/>
          <w:szCs w:val="18"/>
          <w:color w:val="231F20"/>
        </w:rPr>
        <w:t>identify and resolve complex accounting issues under GAAP, and (ii) enable appropriate segregation of duties and reviews over the financial close and reporting process.</w:t>
      </w:r>
    </w:p>
    <w:p>
      <w:pPr>
        <w:spacing w:after="0" w:line="84" w:lineRule="exact"/>
        <w:rPr>
          <w:sz w:val="20"/>
          <w:szCs w:val="20"/>
          <w:color w:val="auto"/>
        </w:rPr>
      </w:pPr>
    </w:p>
    <w:p>
      <w:pPr>
        <w:ind w:right="360" w:firstLine="509"/>
        <w:spacing w:after="0" w:line="311" w:lineRule="auto"/>
        <w:rPr>
          <w:sz w:val="20"/>
          <w:szCs w:val="20"/>
          <w:color w:val="auto"/>
        </w:rPr>
      </w:pPr>
      <w:r>
        <w:rPr>
          <w:rFonts w:ascii="Arial" w:cs="Arial" w:eastAsia="Arial" w:hAnsi="Arial"/>
          <w:sz w:val="16"/>
          <w:szCs w:val="16"/>
          <w:color w:val="231F20"/>
        </w:rPr>
        <w:t>During the year ended December 31, 2022, our management, with the oversight of the Audit Committee of our board of directors, designed and implemented measures to remediate the control deficiencies contributing to the material weakness and completed testing of internal controls. These remediation efforts, which continued initiatives that began during the year ended December 31, 2021, included the following:</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31" w:name="page32"/>
    <w:bookmarkEnd w:id="31"/>
    <w:p>
      <w:pPr>
        <w:ind w:left="920" w:right="780" w:hanging="283"/>
        <w:spacing w:after="0" w:line="277" w:lineRule="auto"/>
        <w:tabs>
          <w:tab w:leader="none" w:pos="9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significantly increased our accounting and financial reporting personnel, including the hiring of CPAs, and technical accounting and SEC reporting resources with requisite technical accounting knowledge; and</w:t>
      </w:r>
    </w:p>
    <w:p>
      <w:pPr>
        <w:spacing w:after="0" w:line="62" w:lineRule="exact"/>
        <w:rPr>
          <w:rFonts w:ascii="Arial" w:cs="Arial" w:eastAsia="Arial" w:hAnsi="Arial"/>
          <w:sz w:val="18"/>
          <w:szCs w:val="18"/>
          <w:color w:val="231F20"/>
        </w:rPr>
      </w:pPr>
    </w:p>
    <w:p>
      <w:pPr>
        <w:jc w:val="both"/>
        <w:ind w:left="920" w:right="1540" w:hanging="283"/>
        <w:spacing w:after="0" w:line="263" w:lineRule="auto"/>
        <w:tabs>
          <w:tab w:leader="none" w:pos="92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 xml:space="preserve">designed and implemented controls to formalize review procedures around the financial close and reporting process with appropriate segregation of duties </w:t>
      </w:r>
      <w:r>
        <w:rPr>
          <w:rFonts w:ascii="Arial" w:cs="Arial" w:eastAsia="Arial" w:hAnsi="Arial"/>
          <w:sz w:val="18"/>
          <w:szCs w:val="18"/>
          <w:color w:val="000000"/>
        </w:rPr>
        <w:t>and to improve the completeness, timeliness and accuracy of our financial reporting and</w:t>
      </w:r>
      <w:r>
        <w:rPr>
          <w:rFonts w:ascii="Arial" w:cs="Arial" w:eastAsia="Arial" w:hAnsi="Arial"/>
          <w:sz w:val="18"/>
          <w:szCs w:val="18"/>
          <w:color w:val="231F20"/>
        </w:rPr>
        <w:t xml:space="preserve"> </w:t>
      </w:r>
      <w:r>
        <w:rPr>
          <w:rFonts w:ascii="Arial" w:cs="Arial" w:eastAsia="Arial" w:hAnsi="Arial"/>
          <w:sz w:val="18"/>
          <w:szCs w:val="18"/>
          <w:color w:val="000000"/>
        </w:rPr>
        <w:t>disclosures including the assessment of more judgmental areas of accounting.</w:t>
      </w:r>
    </w:p>
    <w:p>
      <w:pPr>
        <w:spacing w:after="0" w:line="76"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231F20"/>
        </w:rPr>
        <w:t>While significant progress has been made to improve our internal control over financial reporting, not all aspects of our past material weakness have been sufficiently remediated. The remaining aspect of the material weakness relates to the lack of sufficient accounting resources with deep technical accounting knowledge to identify and resolve complex accounting issues in a timely manner. Remediation of the material weakness will require further validation and testing of the operating effectiveness of the applicable remedial controls over a sustained period of financial reporting cycles.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Other than the changes intended to remediate the material weakness noted above, there were no changes in our internal control over financial reporting during the most recently completed fiscal quarter that has materially affected, or is reasonably likely to materially affect, our internal control over financial reporting.</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Except as set forth in Note 6, Commitments and Contingencies, in our notes to the unaudited condensed consolidated financial statements in this Quarterly Report,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regardless of the merits of the claims raised or the outcome, legal proceedings, regulatory matters, and other disputes and claims may have an adverse impact on us as a result of defense and settlement costs, diversion of management time and resources, and other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8"/>
          <w:szCs w:val="18"/>
          <w:color w:val="auto"/>
        </w:rPr>
        <w:t>Except as set forth below, we are not aware of any material changes to the risk factors set forth under the heading "Risk Factors" in the 2022 Form 10-K, which are incorporated herein by reference. The risks described in the 2022 Form 10-K are not the only ones we face. Additional risks we currently do not know about or that we currently believe to be immaterial may also impair our business, financial condition, operating results, liquidity, and future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80"/>
        <w:spacing w:after="0" w:line="381" w:lineRule="auto"/>
        <w:rPr>
          <w:sz w:val="20"/>
          <w:szCs w:val="20"/>
          <w:color w:val="auto"/>
        </w:rPr>
      </w:pPr>
      <w:r>
        <w:rPr>
          <w:rFonts w:ascii="Arial" w:cs="Arial" w:eastAsia="Arial" w:hAnsi="Arial"/>
          <w:sz w:val="15"/>
          <w:szCs w:val="15"/>
          <w:b w:val="1"/>
          <w:bCs w:val="1"/>
          <w:i w:val="1"/>
          <w:iCs w:val="1"/>
          <w:color w:val="auto"/>
        </w:rPr>
        <w:t>We may not be able to incrementally secure or maintain adequate levels of third-party coverage and reimbursement for procedures in which our Surgical Glaucoma or TearCare products are used, and third parties may rescind or modify their coverage or delay payments related to these products.</w:t>
      </w:r>
    </w:p>
    <w:p>
      <w:pPr>
        <w:spacing w:after="0" w:line="100" w:lineRule="exact"/>
        <w:rPr>
          <w:sz w:val="20"/>
          <w:szCs w:val="20"/>
          <w:color w:val="auto"/>
        </w:rPr>
      </w:pPr>
    </w:p>
    <w:p>
      <w:pPr>
        <w:ind w:right="100" w:firstLine="509"/>
        <w:spacing w:after="0" w:line="293" w:lineRule="auto"/>
        <w:rPr>
          <w:sz w:val="20"/>
          <w:szCs w:val="20"/>
          <w:color w:val="auto"/>
        </w:rPr>
      </w:pPr>
      <w:r>
        <w:rPr>
          <w:rFonts w:ascii="Arial" w:cs="Arial" w:eastAsia="Arial" w:hAnsi="Arial"/>
          <w:sz w:val="16"/>
          <w:szCs w:val="16"/>
          <w:color w:val="auto"/>
        </w:rPr>
        <w:t>We derive revenue from sales of OMNI and SION to physicians, ASCs, and HOPDs, which typically bill all or a portion of the costs and fees associated with our products to various third-party payors, including Medicare, Medicaid, private commercial insurance companies, health maintenance organizations and other healthcare-related organizations, and then bill patients for any applicable deductibles or co-payments. Internationally, medical reimbursement systems vary significantly from country to country, with some countries limiting medical centers’ spending through fixed budgets, regardless of levels of patient treatment, and other countries requiring application for, and approval of, government or third-party reimbursement. As a result, access to adequate coverage and reimbursement for procedures in which our Surgical Glaucoma products are used by third-party payors is essential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to their acceptance and adoption by patients and ECPs.</w:t>
      </w:r>
    </w:p>
    <w:p>
      <w:pPr>
        <w:spacing w:after="0" w:line="225" w:lineRule="exact"/>
        <w:rPr>
          <w:sz w:val="20"/>
          <w:szCs w:val="20"/>
          <w:color w:val="auto"/>
        </w:rPr>
      </w:pPr>
    </w:p>
    <w:p>
      <w:pPr>
        <w:ind w:right="100" w:firstLine="509"/>
        <w:spacing w:after="0" w:line="268" w:lineRule="auto"/>
        <w:rPr>
          <w:sz w:val="20"/>
          <w:szCs w:val="20"/>
          <w:color w:val="auto"/>
        </w:rPr>
      </w:pPr>
      <w:r>
        <w:rPr>
          <w:rFonts w:ascii="Arial" w:cs="Arial" w:eastAsia="Arial" w:hAnsi="Arial"/>
          <w:sz w:val="17"/>
          <w:szCs w:val="17"/>
          <w:color w:val="auto"/>
        </w:rPr>
        <w:t>We also derive revenue from sales of TearCare to ECPs and eye care clinics, which bill all or a portion of the costs and fees associated with treatments and products to patients or, on a limited basis, to third-party payors. We believe that access to adequate coverage and reimbursement for procedures in which TearCare is used by third-party payors is important to the broad acceptance and adoption of TearCare. Currently, no Medicare Administrative Contractors ("MACs") have formal policies establishing coverage for the TearCare procedure; however, MACs from time to time may include, and we are currently aware of three MACs that have included, low payment rates for TearCare procedures in their fee schedules that, if not removed or increased to what we believe is an appropriate reimbursement level, could adversely impact our efforts to achieve reimbursement for TearCare that is sufficient to support its broad commercial growth and adoption. Further, commercial payers may from time to time make “no coverage” or similar determinations with respect to our TearCare product that could hamper our efforts to drive broad commercial adoption of TearCare. We are pursuing a comprehensive long-term market development and patient access plan for TearCare and focusing our efforts on partnering with key strategic accounts to pursue prior authorization approvals and reimbursement claims for procedures in which TearCare is used, but there is no guarantee that we will be successful. If patients are not willing to pay for procedures in which TearCare is used, or if third-party payors continue to refuse to provide coverage and reimbursement, or provide insufficient levels of coverage and reimbursement, it could have a negative impact on ECPs’ adoption of TearCare and sales of TearCare, which could adversely affect our business.</w:t>
      </w:r>
    </w:p>
    <w:p>
      <w:pPr>
        <w:spacing w:after="0" w:line="186"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Third-party payors, whether foreign or domestic, or governmental or commercial, are developing increasingly sophisticated methods of controlling healthcare costs. In addition, no uniform policy of coverage and reimbursement for procedures using our products exists among third-party payors. Therefore, coverage and reimbursement for procedures using our products can differ significantly from payor to payor. Obtaining and maintaining coverage and reimbursement can be a time-consuming process that could require us to provide supporting scientific, clinical and cost-effectiveness data for the use of our products. We may not be able to provide data sufficient to satisfy governmental and third-party payors that procedures using our products should be covered and reimbursed. With regard to our international sales efforts, even if and as we succeed in bringing our products to market in foreign countries, uncertainties regarding future healthcare policy, legislation and regulation, as well as private market practices, could affect our ability to sell our products in commercially acceptable quantities at acceptable prices.</w:t>
      </w:r>
    </w:p>
    <w:p>
      <w:pPr>
        <w:spacing w:after="0" w:line="178"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In the United States, the American Medical Association ("AMA") generally assigns specific billing codes for procedures under a coding system known as Current Procedure Terminology ("CPT"), which surgeons use to bill third-party payors and receive reimbursement. Once a permanent CPT code ("Category I CPT code") is established for a service, CMS establishes payment levels under Medicare, while other payors may establish rates and coverage rules independently. Canaloplasty followed by trabeculotomy procedures using OMNI are typically billed using the Category I CPT code 66174, which describes canaloplasty. Coding for ophthalmic surgical procedures is complex, and changes to the codes used to report services performed with our products may result in significant changes in reimbursement, which could negatively impact our revenue. For example, in 2021 the RVS Update Committee ("RUC") of the AMA reevaluated the physician work associated with CPT code 66174. As a result of this RUC review, CMS reduced the Medicare Physician Fee Schedule amount associated with this service from approximately $950 in 2021 to $761 in 2022 and approximately $622 in 2023</w:t>
      </w:r>
      <w:r>
        <w:rPr>
          <w:rFonts w:ascii="Arial" w:cs="Arial" w:eastAsia="Arial" w:hAnsi="Arial"/>
          <w:sz w:val="16"/>
          <w:szCs w:val="16"/>
          <w:b w:val="1"/>
          <w:bCs w:val="1"/>
          <w:color w:val="auto"/>
        </w:rPr>
        <w:t>.</w:t>
      </w:r>
    </w:p>
    <w:p>
      <w:pPr>
        <w:spacing w:after="0" w:line="165" w:lineRule="exact"/>
        <w:rPr>
          <w:sz w:val="20"/>
          <w:szCs w:val="20"/>
          <w:color w:val="auto"/>
        </w:rPr>
      </w:pPr>
    </w:p>
    <w:p>
      <w:pPr>
        <w:ind w:right="20" w:firstLine="509"/>
        <w:spacing w:after="0" w:line="273" w:lineRule="auto"/>
        <w:rPr>
          <w:sz w:val="20"/>
          <w:szCs w:val="20"/>
          <w:color w:val="auto"/>
        </w:rPr>
      </w:pPr>
      <w:r>
        <w:rPr>
          <w:rFonts w:ascii="Arial" w:cs="Arial" w:eastAsia="Arial" w:hAnsi="Arial"/>
          <w:sz w:val="17"/>
          <w:szCs w:val="17"/>
          <w:color w:val="auto"/>
        </w:rPr>
        <w:t>The AMA maintains a subset of temporary CPT codes ("Category III CPT codes") used for new and emerging technologies. For example, TearCare was assigned a Category III CPT code effective beginning January 1, 2020. Coverage for Category III CPT codes is often limited. Medicare does not generally establish national payment rates for Category III CPT codes on the Medicare Physician Fee Schedule. As a result, individual Medicare contractors and private payors may establish their own payment rates for services described by Category III CPT codes, as has been the case with TearCare, which payment rates are subject to change, may be variable across Medicare contractors, may be materially below the final reimbursement rates that we are currently targeting, or may determine not to reimburse services described by Category III CPT codes.</w:t>
      </w:r>
    </w:p>
    <w:p>
      <w:pPr>
        <w:spacing w:after="0" w:line="178" w:lineRule="exact"/>
        <w:rPr>
          <w:sz w:val="20"/>
          <w:szCs w:val="20"/>
          <w:color w:val="auto"/>
        </w:rPr>
      </w:pPr>
    </w:p>
    <w:p>
      <w:pPr>
        <w:jc w:val="both"/>
        <w:ind w:right="160" w:firstLine="509"/>
        <w:spacing w:after="0" w:line="311" w:lineRule="auto"/>
        <w:rPr>
          <w:sz w:val="20"/>
          <w:szCs w:val="20"/>
          <w:color w:val="auto"/>
        </w:rPr>
      </w:pPr>
      <w:r>
        <w:rPr>
          <w:rFonts w:ascii="Arial" w:cs="Arial" w:eastAsia="Arial" w:hAnsi="Arial"/>
          <w:sz w:val="16"/>
          <w:szCs w:val="16"/>
          <w:color w:val="auto"/>
        </w:rPr>
        <w:t>Payors also continually review new and existing technologies for possible coverage and can deny or reverse coverage for new or existing products and procedures. There can be no assurance that third-party payor policies provide coverage, or will continue to provide coverage, for procedures in which OMNI is used. If coverage policies change such that Medicare no longer covers procedures in which our products are used, there would be a material</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3" w:name="page34"/>
    <w:bookmarkEnd w:id="33"/>
    <w:p>
      <w:pPr>
        <w:spacing w:after="0" w:line="288" w:lineRule="auto"/>
        <w:rPr>
          <w:sz w:val="20"/>
          <w:szCs w:val="20"/>
          <w:color w:val="auto"/>
        </w:rPr>
      </w:pPr>
      <w:r>
        <w:rPr>
          <w:rFonts w:ascii="Arial" w:cs="Arial" w:eastAsia="Arial" w:hAnsi="Arial"/>
          <w:sz w:val="16"/>
          <w:szCs w:val="16"/>
          <w:color w:val="auto"/>
        </w:rPr>
        <w:t>adverse effect on our business, financial condition and results of operations. For example, MACs could issue local coverage determinations ("LCDs") that could restrict the patients eligible for treatment with our products or that are otherwise unfavorable to our business. In June 2023, for instance, five MACs issued draft LCDs that propose to establish or update Medicare coverage policies for micro-invasive glaucoma surgery, or MIGS. The draft LCDs propose to identify certain non-implantable MIGS procedures as investigational and not reasonable and necessary in the jurisdictions where these MACS administer Medicare Part B benefits, including but not limited to canaloplasty followed by trabeculotomy performed with OMNI, and goniotomy procedures that may be performed with SION. If finalized in their current form, the draft LCDs would establish a policy of Medicare non-coverage for these procedures and other non-implantable MIGS procedures in these Medicare jurisdictions. The states served by these MACs accounted for approximately 63% of our Surgical Glaucoma revenue in 2022. If we are not successful in reversing these or other proposed non-coverage policies, or if these MACS or other third-party payors that currently cover or reimburse procedures in which our products are used reverse or limit their coverage in the future, or if other third-party payors issue similar policies, these events would likely have a material and adverse impact on our revenue, results of operations, and financial condition.</w:t>
      </w:r>
    </w:p>
    <w:p>
      <w:pPr>
        <w:spacing w:after="0" w:line="168" w:lineRule="exact"/>
        <w:rPr>
          <w:sz w:val="20"/>
          <w:szCs w:val="20"/>
          <w:color w:val="auto"/>
        </w:rPr>
      </w:pPr>
    </w:p>
    <w:p>
      <w:pPr>
        <w:ind w:right="40" w:firstLine="509"/>
        <w:spacing w:after="0" w:line="254" w:lineRule="auto"/>
        <w:rPr>
          <w:sz w:val="20"/>
          <w:szCs w:val="20"/>
          <w:color w:val="auto"/>
        </w:rPr>
      </w:pPr>
      <w:r>
        <w:rPr>
          <w:rFonts w:ascii="Arial" w:cs="Arial" w:eastAsia="Arial" w:hAnsi="Arial"/>
          <w:sz w:val="18"/>
          <w:szCs w:val="18"/>
          <w:color w:val="auto"/>
        </w:rPr>
        <w:t>Further, we believe that future coverage and reimbursement may be subject to increased restrictions, such as additional prior authorization requirements, both in the United States and in international markets. Third-party coverage and reimbursement for procedures using our products or any of our products in development for which we may receive regulatory clearance, certification or approval may not be available or adequate in either the United States or international markets. Further, other devices or treatments that compete with our products may be more widely covered or subject to different co-pay policies and requirements, which could impact demand for our products. If hospital, surgical center, ECP and/or patient demand for our products is adversely affected by third-party reimbursement policies and decisions, it could have a material adverse effect on our business, financial condition and results of operations.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 July 2021, we completed our IPO. All shares sold were registered pursuant to a registration statement on Form S-1 (File No. 333-257320), as amended (the "Registration Statement"), declared effective by the SEC on July 14, 2021.</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has been no material change in the intended use of proceeds from the IPO as described in the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661" w:right="7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exhibits are filed or furnished as a part of, or incorporated by reference into, this Quarterly Report.</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10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ind w:left="80"/>
              <w:spacing w:after="0"/>
              <w:rPr>
                <w:sz w:val="20"/>
                <w:szCs w:val="20"/>
                <w:color w:val="auto"/>
              </w:rPr>
            </w:pPr>
            <w:r>
              <w:rPr>
                <w:rFonts w:ascii="Arial" w:cs="Arial" w:eastAsia="Arial" w:hAnsi="Arial"/>
                <w:sz w:val="16"/>
                <w:szCs w:val="16"/>
                <w:b w:val="1"/>
                <w:bCs w:val="1"/>
                <w:color w:val="auto"/>
              </w:rPr>
              <w:t>Incorporated by</w:t>
            </w: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0"/>
        </w:trPr>
        <w:tc>
          <w:tcPr>
            <w:tcW w:w="10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ind w:left="80"/>
              <w:spacing w:after="0"/>
              <w:rPr>
                <w:sz w:val="20"/>
                <w:szCs w:val="20"/>
                <w:color w:val="auto"/>
              </w:rPr>
            </w:pPr>
            <w:r>
              <w:rPr>
                <w:rFonts w:ascii="Arial" w:cs="Arial" w:eastAsia="Arial" w:hAnsi="Arial"/>
                <w:sz w:val="16"/>
                <w:szCs w:val="16"/>
                <w:b w:val="1"/>
                <w:bCs w:val="1"/>
                <w:color w:val="auto"/>
              </w:rPr>
              <w:t>Reference</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2"/>
        </w:trPr>
        <w:tc>
          <w:tcPr>
            <w:tcW w:w="106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3980" w:type="dxa"/>
            <w:vAlign w:val="bottom"/>
            <w:gridSpan w:val="9"/>
          </w:tcPr>
          <w:p>
            <w:pPr>
              <w:ind w:left="1260"/>
              <w:spacing w:after="0"/>
              <w:rPr>
                <w:sz w:val="20"/>
                <w:szCs w:val="20"/>
                <w:color w:val="auto"/>
              </w:rPr>
            </w:pPr>
            <w:r>
              <w:rPr>
                <w:rFonts w:ascii="Arial" w:cs="Arial" w:eastAsia="Arial" w:hAnsi="Arial"/>
                <w:sz w:val="16"/>
                <w:szCs w:val="16"/>
                <w:b w:val="1"/>
                <w:bCs w:val="1"/>
                <w:color w:val="auto"/>
              </w:rPr>
              <w:t>Exhibit Description</w:t>
            </w:r>
          </w:p>
        </w:tc>
        <w:tc>
          <w:tcPr>
            <w:tcW w:w="1380" w:type="dxa"/>
            <w:vAlign w:val="bottom"/>
          </w:tcPr>
          <w:p>
            <w:pPr>
              <w:ind w:left="80"/>
              <w:spacing w:after="0"/>
              <w:rPr>
                <w:sz w:val="20"/>
                <w:szCs w:val="20"/>
                <w:color w:val="auto"/>
              </w:rPr>
            </w:pPr>
            <w:r>
              <w:rPr>
                <w:rFonts w:ascii="Arial" w:cs="Arial" w:eastAsia="Arial" w:hAnsi="Arial"/>
                <w:sz w:val="16"/>
                <w:szCs w:val="16"/>
                <w:b w:val="1"/>
                <w:bCs w:val="1"/>
                <w:color w:val="auto"/>
              </w:rPr>
              <w:t>Form</w:t>
            </w:r>
          </w:p>
        </w:tc>
        <w:tc>
          <w:tcPr>
            <w:tcW w:w="1140" w:type="dxa"/>
            <w:vAlign w:val="bottom"/>
          </w:tcPr>
          <w:p>
            <w:pPr>
              <w:ind w:left="160"/>
              <w:spacing w:after="0"/>
              <w:rPr>
                <w:sz w:val="20"/>
                <w:szCs w:val="20"/>
                <w:color w:val="auto"/>
              </w:rPr>
            </w:pPr>
            <w:r>
              <w:rPr>
                <w:rFonts w:ascii="Arial" w:cs="Arial" w:eastAsia="Arial" w:hAnsi="Arial"/>
                <w:sz w:val="16"/>
                <w:szCs w:val="16"/>
                <w:b w:val="1"/>
                <w:bCs w:val="1"/>
                <w:color w:val="auto"/>
              </w:rPr>
              <w:t>File No.</w:t>
            </w:r>
          </w:p>
        </w:tc>
        <w:tc>
          <w:tcPr>
            <w:tcW w:w="1000" w:type="dxa"/>
            <w:vAlign w:val="bottom"/>
          </w:tcPr>
          <w:p>
            <w:pPr>
              <w:ind w:left="280"/>
              <w:spacing w:after="0"/>
              <w:rPr>
                <w:sz w:val="20"/>
                <w:szCs w:val="20"/>
                <w:color w:val="auto"/>
              </w:rPr>
            </w:pPr>
            <w:r>
              <w:rPr>
                <w:rFonts w:ascii="Arial" w:cs="Arial" w:eastAsia="Arial" w:hAnsi="Arial"/>
                <w:sz w:val="16"/>
                <w:szCs w:val="16"/>
                <w:b w:val="1"/>
                <w:bCs w:val="1"/>
                <w:color w:val="auto"/>
              </w:rPr>
              <w:t>Exhibit</w:t>
            </w:r>
          </w:p>
        </w:tc>
        <w:tc>
          <w:tcPr>
            <w:tcW w:w="900" w:type="dxa"/>
            <w:vAlign w:val="bottom"/>
          </w:tcPr>
          <w:p>
            <w:pPr>
              <w:ind w:left="200"/>
              <w:spacing w:after="0"/>
              <w:rPr>
                <w:sz w:val="20"/>
                <w:szCs w:val="20"/>
                <w:color w:val="auto"/>
              </w:rPr>
            </w:pPr>
            <w:r>
              <w:rPr>
                <w:rFonts w:ascii="Arial" w:cs="Arial" w:eastAsia="Arial" w:hAnsi="Arial"/>
                <w:sz w:val="16"/>
                <w:szCs w:val="16"/>
                <w:b w:val="1"/>
                <w:bCs w:val="1"/>
                <w:color w:val="auto"/>
              </w:rPr>
              <w:t>Filing</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w w:val="90"/>
              </w:rPr>
              <w:t>Filed/Furnished</w:t>
            </w:r>
          </w:p>
        </w:tc>
      </w:tr>
      <w:tr>
        <w:trPr>
          <w:trHeight w:val="210"/>
        </w:trPr>
        <w:tc>
          <w:tcPr>
            <w:tcW w:w="106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2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ind w:left="200"/>
              <w:spacing w:after="0"/>
              <w:rPr>
                <w:sz w:val="20"/>
                <w:szCs w:val="20"/>
                <w:color w:val="auto"/>
              </w:rPr>
            </w:pPr>
            <w:r>
              <w:rPr>
                <w:rFonts w:ascii="Arial" w:cs="Arial" w:eastAsia="Arial" w:hAnsi="Arial"/>
                <w:sz w:val="16"/>
                <w:szCs w:val="16"/>
                <w:b w:val="1"/>
                <w:bCs w:val="1"/>
                <w:color w:val="auto"/>
              </w:rPr>
              <w:t>Date</w:t>
            </w:r>
          </w:p>
        </w:tc>
        <w:tc>
          <w:tcPr>
            <w:tcW w:w="1320" w:type="dxa"/>
            <w:vAlign w:val="bottom"/>
          </w:tcPr>
          <w:p>
            <w:pPr>
              <w:ind w:left="220"/>
              <w:spacing w:after="0"/>
              <w:rPr>
                <w:sz w:val="20"/>
                <w:szCs w:val="20"/>
                <w:color w:val="auto"/>
              </w:rPr>
            </w:pPr>
            <w:r>
              <w:rPr>
                <w:rFonts w:ascii="Arial" w:cs="Arial" w:eastAsia="Arial" w:hAnsi="Arial"/>
                <w:sz w:val="16"/>
                <w:szCs w:val="16"/>
                <w:b w:val="1"/>
                <w:bCs w:val="1"/>
                <w:color w:val="auto"/>
              </w:rPr>
              <w:t>Herewith</w:t>
            </w:r>
          </w:p>
        </w:tc>
      </w:tr>
      <w:tr>
        <w:trPr>
          <w:trHeight w:val="195"/>
        </w:trPr>
        <w:tc>
          <w:tcPr>
            <w:tcW w:w="1060" w:type="dxa"/>
            <w:vAlign w:val="bottom"/>
          </w:tcPr>
          <w:p>
            <w:pPr>
              <w:spacing w:after="0"/>
              <w:rPr>
                <w:sz w:val="20"/>
                <w:szCs w:val="20"/>
                <w:color w:val="auto"/>
              </w:rPr>
            </w:pPr>
            <w:r>
              <w:rPr>
                <w:rFonts w:ascii="Arial" w:cs="Arial" w:eastAsia="Arial" w:hAnsi="Arial"/>
                <w:sz w:val="16"/>
                <w:szCs w:val="16"/>
                <w:color w:val="auto"/>
              </w:rPr>
              <w:t>3.1</w:t>
            </w:r>
          </w:p>
        </w:tc>
        <w:tc>
          <w:tcPr>
            <w:tcW w:w="3980" w:type="dxa"/>
            <w:vAlign w:val="bottom"/>
            <w:gridSpan w:val="9"/>
          </w:tcPr>
          <w:p>
            <w:pPr>
              <w:spacing w:after="0"/>
              <w:rPr>
                <w:rFonts w:ascii="Arial" w:cs="Arial" w:eastAsia="Arial" w:hAnsi="Arial"/>
                <w:sz w:val="16"/>
                <w:szCs w:val="16"/>
                <w:color w:val="0000FF"/>
                <w:w w:val="94"/>
              </w:rPr>
            </w:pPr>
            <w:hyperlink r:id="rId231">
              <w:r>
                <w:rPr>
                  <w:rFonts w:ascii="Arial" w:cs="Arial" w:eastAsia="Arial" w:hAnsi="Arial"/>
                  <w:sz w:val="16"/>
                  <w:szCs w:val="16"/>
                  <w:color w:val="0000FF"/>
                  <w:w w:val="94"/>
                </w:rPr>
                <w:t>Restated Certificate of Incorporation of Sight Sciences, Inc.</w:t>
              </w:r>
            </w:hyperlink>
          </w:p>
        </w:tc>
        <w:tc>
          <w:tcPr>
            <w:tcW w:w="1380" w:type="dxa"/>
            <w:vAlign w:val="bottom"/>
          </w:tcPr>
          <w:p>
            <w:pPr>
              <w:ind w:left="80"/>
              <w:spacing w:after="0"/>
              <w:rPr>
                <w:sz w:val="20"/>
                <w:szCs w:val="20"/>
                <w:color w:val="auto"/>
              </w:rPr>
            </w:pPr>
            <w:r>
              <w:rPr>
                <w:rFonts w:ascii="Arial" w:cs="Arial" w:eastAsia="Arial" w:hAnsi="Arial"/>
                <w:sz w:val="16"/>
                <w:szCs w:val="16"/>
                <w:color w:val="auto"/>
              </w:rPr>
              <w:t>8-K</w:t>
            </w:r>
          </w:p>
        </w:tc>
        <w:tc>
          <w:tcPr>
            <w:tcW w:w="1140" w:type="dxa"/>
            <w:vAlign w:val="bottom"/>
          </w:tcPr>
          <w:p>
            <w:pPr>
              <w:ind w:left="160"/>
              <w:spacing w:after="0"/>
              <w:rPr>
                <w:sz w:val="20"/>
                <w:szCs w:val="20"/>
                <w:color w:val="auto"/>
              </w:rPr>
            </w:pPr>
            <w:r>
              <w:rPr>
                <w:rFonts w:ascii="Arial" w:cs="Arial" w:eastAsia="Arial" w:hAnsi="Arial"/>
                <w:sz w:val="16"/>
                <w:szCs w:val="16"/>
                <w:color w:val="auto"/>
              </w:rPr>
              <w:t>001-40587</w:t>
            </w:r>
          </w:p>
        </w:tc>
        <w:tc>
          <w:tcPr>
            <w:tcW w:w="1000" w:type="dxa"/>
            <w:vAlign w:val="bottom"/>
          </w:tcPr>
          <w:p>
            <w:pPr>
              <w:ind w:left="280"/>
              <w:spacing w:after="0"/>
              <w:rPr>
                <w:sz w:val="20"/>
                <w:szCs w:val="20"/>
                <w:color w:val="auto"/>
              </w:rPr>
            </w:pPr>
            <w:r>
              <w:rPr>
                <w:rFonts w:ascii="Arial" w:cs="Arial" w:eastAsia="Arial" w:hAnsi="Arial"/>
                <w:sz w:val="16"/>
                <w:szCs w:val="16"/>
                <w:color w:val="auto"/>
              </w:rPr>
              <w:t>3.1</w:t>
            </w:r>
          </w:p>
        </w:tc>
        <w:tc>
          <w:tcPr>
            <w:tcW w:w="900" w:type="dxa"/>
            <w:vAlign w:val="bottom"/>
          </w:tcPr>
          <w:p>
            <w:pPr>
              <w:ind w:left="200"/>
              <w:spacing w:after="0"/>
              <w:rPr>
                <w:sz w:val="20"/>
                <w:szCs w:val="20"/>
                <w:color w:val="auto"/>
              </w:rPr>
            </w:pPr>
            <w:r>
              <w:rPr>
                <w:rFonts w:ascii="Arial" w:cs="Arial" w:eastAsia="Arial" w:hAnsi="Arial"/>
                <w:sz w:val="16"/>
                <w:szCs w:val="16"/>
                <w:color w:val="auto"/>
              </w:rPr>
              <w:t>7/19/21</w:t>
            </w:r>
          </w:p>
        </w:tc>
        <w:tc>
          <w:tcPr>
            <w:tcW w:w="1320" w:type="dxa"/>
            <w:vAlign w:val="bottom"/>
          </w:tcPr>
          <w:p>
            <w:pPr>
              <w:spacing w:after="0"/>
              <w:rPr>
                <w:sz w:val="16"/>
                <w:szCs w:val="16"/>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6"/>
                <w:szCs w:val="16"/>
                <w:color w:val="auto"/>
              </w:rPr>
              <w:t>3.2</w:t>
            </w:r>
          </w:p>
        </w:tc>
        <w:tc>
          <w:tcPr>
            <w:tcW w:w="3980" w:type="dxa"/>
            <w:vAlign w:val="bottom"/>
            <w:gridSpan w:val="9"/>
          </w:tcPr>
          <w:p>
            <w:pPr>
              <w:spacing w:after="0"/>
              <w:rPr>
                <w:rFonts w:ascii="Arial" w:cs="Arial" w:eastAsia="Arial" w:hAnsi="Arial"/>
                <w:sz w:val="16"/>
                <w:szCs w:val="16"/>
                <w:color w:val="0000FF"/>
              </w:rPr>
            </w:pPr>
            <w:hyperlink r:id="rId232">
              <w:r>
                <w:rPr>
                  <w:rFonts w:ascii="Arial" w:cs="Arial" w:eastAsia="Arial" w:hAnsi="Arial"/>
                  <w:sz w:val="16"/>
                  <w:szCs w:val="16"/>
                  <w:color w:val="0000FF"/>
                </w:rPr>
                <w:t>Amended and Restated Bylaws of Sight Sciences, Inc.</w:t>
              </w:r>
            </w:hyperlink>
          </w:p>
        </w:tc>
        <w:tc>
          <w:tcPr>
            <w:tcW w:w="1380" w:type="dxa"/>
            <w:vAlign w:val="bottom"/>
          </w:tcPr>
          <w:p>
            <w:pPr>
              <w:ind w:left="80"/>
              <w:spacing w:after="0"/>
              <w:rPr>
                <w:sz w:val="20"/>
                <w:szCs w:val="20"/>
                <w:color w:val="auto"/>
              </w:rPr>
            </w:pPr>
            <w:r>
              <w:rPr>
                <w:rFonts w:ascii="Arial" w:cs="Arial" w:eastAsia="Arial" w:hAnsi="Arial"/>
                <w:sz w:val="16"/>
                <w:szCs w:val="16"/>
                <w:color w:val="auto"/>
              </w:rPr>
              <w:t>8-K</w:t>
            </w:r>
          </w:p>
        </w:tc>
        <w:tc>
          <w:tcPr>
            <w:tcW w:w="1140" w:type="dxa"/>
            <w:vAlign w:val="bottom"/>
          </w:tcPr>
          <w:p>
            <w:pPr>
              <w:ind w:left="160"/>
              <w:spacing w:after="0"/>
              <w:rPr>
                <w:sz w:val="20"/>
                <w:szCs w:val="20"/>
                <w:color w:val="auto"/>
              </w:rPr>
            </w:pPr>
            <w:r>
              <w:rPr>
                <w:rFonts w:ascii="Arial" w:cs="Arial" w:eastAsia="Arial" w:hAnsi="Arial"/>
                <w:sz w:val="16"/>
                <w:szCs w:val="16"/>
                <w:color w:val="auto"/>
              </w:rPr>
              <w:t>001-40587</w:t>
            </w:r>
          </w:p>
        </w:tc>
        <w:tc>
          <w:tcPr>
            <w:tcW w:w="1000" w:type="dxa"/>
            <w:vAlign w:val="bottom"/>
          </w:tcPr>
          <w:p>
            <w:pPr>
              <w:ind w:left="280"/>
              <w:spacing w:after="0"/>
              <w:rPr>
                <w:sz w:val="20"/>
                <w:szCs w:val="20"/>
                <w:color w:val="auto"/>
              </w:rPr>
            </w:pPr>
            <w:r>
              <w:rPr>
                <w:rFonts w:ascii="Arial" w:cs="Arial" w:eastAsia="Arial" w:hAnsi="Arial"/>
                <w:sz w:val="16"/>
                <w:szCs w:val="16"/>
                <w:color w:val="auto"/>
              </w:rPr>
              <w:t>3.2</w:t>
            </w:r>
          </w:p>
        </w:tc>
        <w:tc>
          <w:tcPr>
            <w:tcW w:w="900" w:type="dxa"/>
            <w:vAlign w:val="bottom"/>
          </w:tcPr>
          <w:p>
            <w:pPr>
              <w:ind w:left="200"/>
              <w:spacing w:after="0"/>
              <w:rPr>
                <w:sz w:val="20"/>
                <w:szCs w:val="20"/>
                <w:color w:val="auto"/>
              </w:rPr>
            </w:pPr>
            <w:r>
              <w:rPr>
                <w:rFonts w:ascii="Arial" w:cs="Arial" w:eastAsia="Arial" w:hAnsi="Arial"/>
                <w:sz w:val="16"/>
                <w:szCs w:val="16"/>
                <w:color w:val="auto"/>
              </w:rPr>
              <w:t>7/19/21</w:t>
            </w:r>
          </w:p>
        </w:tc>
        <w:tc>
          <w:tcPr>
            <w:tcW w:w="1320" w:type="dxa"/>
            <w:vAlign w:val="bottom"/>
          </w:tcPr>
          <w:p>
            <w:pPr>
              <w:spacing w:after="0"/>
              <w:rPr>
                <w:sz w:val="18"/>
                <w:szCs w:val="18"/>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6"/>
                <w:szCs w:val="16"/>
                <w:color w:val="auto"/>
              </w:rPr>
              <w:t>10.1#</w:t>
            </w:r>
          </w:p>
        </w:tc>
        <w:tc>
          <w:tcPr>
            <w:tcW w:w="3980" w:type="dxa"/>
            <w:vAlign w:val="bottom"/>
            <w:gridSpan w:val="9"/>
          </w:tcPr>
          <w:p>
            <w:pPr>
              <w:spacing w:after="0"/>
              <w:rPr>
                <w:rFonts w:ascii="Arial" w:cs="Arial" w:eastAsia="Arial" w:hAnsi="Arial"/>
                <w:sz w:val="16"/>
                <w:szCs w:val="16"/>
                <w:color w:val="0000FF"/>
                <w:w w:val="95"/>
              </w:rPr>
            </w:pPr>
            <w:hyperlink r:id="rId233">
              <w:r>
                <w:rPr>
                  <w:rFonts w:ascii="Arial" w:cs="Arial" w:eastAsia="Arial" w:hAnsi="Arial"/>
                  <w:sz w:val="16"/>
                  <w:szCs w:val="16"/>
                  <w:color w:val="0000FF"/>
                  <w:w w:val="95"/>
                </w:rPr>
                <w:t>Employment Agreement between Sight Sciences, Inc. and</w:t>
              </w:r>
            </w:hyperlink>
          </w:p>
        </w:tc>
        <w:tc>
          <w:tcPr>
            <w:tcW w:w="1380" w:type="dxa"/>
            <w:vAlign w:val="bottom"/>
          </w:tcPr>
          <w:p>
            <w:pPr>
              <w:ind w:left="80"/>
              <w:spacing w:after="0"/>
              <w:rPr>
                <w:sz w:val="20"/>
                <w:szCs w:val="20"/>
                <w:color w:val="auto"/>
              </w:rPr>
            </w:pPr>
            <w:r>
              <w:rPr>
                <w:rFonts w:ascii="Arial" w:cs="Arial" w:eastAsia="Arial" w:hAnsi="Arial"/>
                <w:sz w:val="16"/>
                <w:szCs w:val="16"/>
                <w:color w:val="auto"/>
              </w:rPr>
              <w:t>10-Q</w:t>
            </w:r>
          </w:p>
        </w:tc>
        <w:tc>
          <w:tcPr>
            <w:tcW w:w="1140" w:type="dxa"/>
            <w:vAlign w:val="bottom"/>
          </w:tcPr>
          <w:p>
            <w:pPr>
              <w:ind w:left="160"/>
              <w:spacing w:after="0"/>
              <w:rPr>
                <w:sz w:val="20"/>
                <w:szCs w:val="20"/>
                <w:color w:val="auto"/>
              </w:rPr>
            </w:pPr>
            <w:r>
              <w:rPr>
                <w:rFonts w:ascii="Arial" w:cs="Arial" w:eastAsia="Arial" w:hAnsi="Arial"/>
                <w:sz w:val="16"/>
                <w:szCs w:val="16"/>
                <w:color w:val="auto"/>
              </w:rPr>
              <w:t>001-40587</w:t>
            </w:r>
          </w:p>
        </w:tc>
        <w:tc>
          <w:tcPr>
            <w:tcW w:w="1000" w:type="dxa"/>
            <w:vAlign w:val="bottom"/>
          </w:tcPr>
          <w:p>
            <w:pPr>
              <w:ind w:left="280"/>
              <w:spacing w:after="0"/>
              <w:rPr>
                <w:sz w:val="20"/>
                <w:szCs w:val="20"/>
                <w:color w:val="auto"/>
              </w:rPr>
            </w:pPr>
            <w:r>
              <w:rPr>
                <w:rFonts w:ascii="Arial" w:cs="Arial" w:eastAsia="Arial" w:hAnsi="Arial"/>
                <w:sz w:val="16"/>
                <w:szCs w:val="16"/>
                <w:color w:val="auto"/>
              </w:rPr>
              <w:t>10.1</w:t>
            </w:r>
          </w:p>
        </w:tc>
        <w:tc>
          <w:tcPr>
            <w:tcW w:w="900" w:type="dxa"/>
            <w:vAlign w:val="bottom"/>
          </w:tcPr>
          <w:p>
            <w:pPr>
              <w:ind w:left="200"/>
              <w:spacing w:after="0"/>
              <w:rPr>
                <w:sz w:val="20"/>
                <w:szCs w:val="20"/>
                <w:color w:val="auto"/>
              </w:rPr>
            </w:pPr>
            <w:r>
              <w:rPr>
                <w:rFonts w:ascii="Arial" w:cs="Arial" w:eastAsia="Arial" w:hAnsi="Arial"/>
                <w:sz w:val="16"/>
                <w:szCs w:val="16"/>
                <w:color w:val="auto"/>
              </w:rPr>
              <w:t>5/8/23</w:t>
            </w:r>
          </w:p>
        </w:tc>
        <w:tc>
          <w:tcPr>
            <w:tcW w:w="1320" w:type="dxa"/>
            <w:vAlign w:val="bottom"/>
          </w:tcPr>
          <w:p>
            <w:pPr>
              <w:spacing w:after="0"/>
              <w:rPr>
                <w:sz w:val="18"/>
                <w:szCs w:val="18"/>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3980" w:type="dxa"/>
            <w:vAlign w:val="bottom"/>
            <w:gridSpan w:val="9"/>
          </w:tcPr>
          <w:p>
            <w:pPr>
              <w:spacing w:after="0" w:line="183" w:lineRule="exact"/>
              <w:rPr>
                <w:rFonts w:ascii="Arial" w:cs="Arial" w:eastAsia="Arial" w:hAnsi="Arial"/>
                <w:sz w:val="16"/>
                <w:szCs w:val="16"/>
                <w:color w:val="0000FF"/>
              </w:rPr>
            </w:pPr>
            <w:hyperlink r:id="rId233">
              <w:r>
                <w:rPr>
                  <w:rFonts w:ascii="Arial" w:cs="Arial" w:eastAsia="Arial" w:hAnsi="Arial"/>
                  <w:sz w:val="16"/>
                  <w:szCs w:val="16"/>
                  <w:color w:val="0000FF"/>
                </w:rPr>
                <w:t>Alison Bauerlein, dated April 3, 2023</w:t>
              </w:r>
            </w:hyperlink>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6"/>
                <w:szCs w:val="16"/>
                <w:color w:val="auto"/>
              </w:rPr>
              <w:t>31.1</w:t>
            </w:r>
          </w:p>
        </w:tc>
        <w:tc>
          <w:tcPr>
            <w:tcW w:w="3980" w:type="dxa"/>
            <w:vAlign w:val="bottom"/>
            <w:gridSpan w:val="9"/>
          </w:tcPr>
          <w:p>
            <w:pPr>
              <w:spacing w:after="0"/>
              <w:rPr>
                <w:sz w:val="20"/>
                <w:szCs w:val="20"/>
                <w:color w:val="auto"/>
              </w:rPr>
            </w:pPr>
            <w:r>
              <w:rPr>
                <w:rFonts w:ascii="Arial" w:cs="Arial" w:eastAsia="Arial" w:hAnsi="Arial"/>
                <w:sz w:val="16"/>
                <w:szCs w:val="16"/>
                <w:color w:val="0000FF"/>
              </w:rPr>
              <w:t>Certification of the Chief Executive Officer pursuant to</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
        </w:trPr>
        <w:tc>
          <w:tcPr>
            <w:tcW w:w="10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3980" w:type="dxa"/>
            <w:vAlign w:val="bottom"/>
            <w:gridSpan w:val="9"/>
          </w:tcPr>
          <w:p>
            <w:pPr>
              <w:spacing w:after="0" w:line="183" w:lineRule="exact"/>
              <w:rPr>
                <w:sz w:val="20"/>
                <w:szCs w:val="20"/>
                <w:color w:val="auto"/>
              </w:rPr>
            </w:pPr>
            <w:r>
              <w:rPr>
                <w:rFonts w:ascii="Arial" w:cs="Arial" w:eastAsia="Arial" w:hAnsi="Arial"/>
                <w:sz w:val="16"/>
                <w:szCs w:val="16"/>
                <w:color w:val="0000FF"/>
              </w:rPr>
              <w:t>Section 906 of the Sarbanes-Oxley Act</w:t>
            </w: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6"/>
                <w:szCs w:val="16"/>
                <w:color w:val="auto"/>
              </w:rPr>
              <w:t>31.2</w:t>
            </w:r>
          </w:p>
        </w:tc>
        <w:tc>
          <w:tcPr>
            <w:tcW w:w="3980" w:type="dxa"/>
            <w:vAlign w:val="bottom"/>
            <w:gridSpan w:val="9"/>
          </w:tcPr>
          <w:p>
            <w:pPr>
              <w:spacing w:after="0"/>
              <w:rPr>
                <w:sz w:val="20"/>
                <w:szCs w:val="20"/>
                <w:color w:val="auto"/>
              </w:rPr>
            </w:pPr>
            <w:r>
              <w:rPr>
                <w:rFonts w:ascii="Arial" w:cs="Arial" w:eastAsia="Arial" w:hAnsi="Arial"/>
                <w:sz w:val="16"/>
                <w:szCs w:val="16"/>
                <w:color w:val="0000FF"/>
              </w:rPr>
              <w:t>Certification of the Chief Financial Officer pursuant to</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
        </w:trPr>
        <w:tc>
          <w:tcPr>
            <w:tcW w:w="10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3980" w:type="dxa"/>
            <w:vAlign w:val="bottom"/>
            <w:gridSpan w:val="9"/>
          </w:tcPr>
          <w:p>
            <w:pPr>
              <w:spacing w:after="0" w:line="183" w:lineRule="exact"/>
              <w:rPr>
                <w:sz w:val="20"/>
                <w:szCs w:val="20"/>
                <w:color w:val="auto"/>
              </w:rPr>
            </w:pPr>
            <w:r>
              <w:rPr>
                <w:rFonts w:ascii="Arial" w:cs="Arial" w:eastAsia="Arial" w:hAnsi="Arial"/>
                <w:sz w:val="16"/>
                <w:szCs w:val="16"/>
                <w:color w:val="0000FF"/>
              </w:rPr>
              <w:t>Section 906 of the Sarbanes-Oxley Act</w:t>
            </w: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0"/>
        </w:trPr>
        <w:tc>
          <w:tcPr>
            <w:tcW w:w="1060" w:type="dxa"/>
            <w:vAlign w:val="bottom"/>
          </w:tcPr>
          <w:p>
            <w:pPr>
              <w:spacing w:after="0"/>
              <w:rPr>
                <w:sz w:val="20"/>
                <w:szCs w:val="20"/>
                <w:color w:val="auto"/>
              </w:rPr>
            </w:pPr>
            <w:r>
              <w:rPr>
                <w:rFonts w:ascii="Arial" w:cs="Arial" w:eastAsia="Arial" w:hAnsi="Arial"/>
                <w:sz w:val="16"/>
                <w:szCs w:val="16"/>
                <w:color w:val="auto"/>
              </w:rPr>
              <w:t>32.1</w:t>
            </w:r>
          </w:p>
        </w:tc>
        <w:tc>
          <w:tcPr>
            <w:tcW w:w="3980" w:type="dxa"/>
            <w:vAlign w:val="bottom"/>
            <w:gridSpan w:val="9"/>
          </w:tcPr>
          <w:p>
            <w:pPr>
              <w:spacing w:after="0"/>
              <w:rPr>
                <w:sz w:val="20"/>
                <w:szCs w:val="20"/>
                <w:color w:val="auto"/>
              </w:rPr>
            </w:pPr>
            <w:r>
              <w:rPr>
                <w:rFonts w:ascii="Arial" w:cs="Arial" w:eastAsia="Arial" w:hAnsi="Arial"/>
                <w:sz w:val="16"/>
                <w:szCs w:val="16"/>
                <w:color w:val="0000FF"/>
                <w:w w:val="98"/>
              </w:rPr>
              <w:t>Certification of the Chief Executive Officer pursuant to 18</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
        </w:trPr>
        <w:tc>
          <w:tcPr>
            <w:tcW w:w="10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3980" w:type="dxa"/>
            <w:vAlign w:val="bottom"/>
            <w:gridSpan w:val="9"/>
          </w:tcPr>
          <w:p>
            <w:pPr>
              <w:spacing w:after="0" w:line="183" w:lineRule="exact"/>
              <w:rPr>
                <w:sz w:val="20"/>
                <w:szCs w:val="20"/>
                <w:color w:val="auto"/>
              </w:rPr>
            </w:pPr>
            <w:r>
              <w:rPr>
                <w:rFonts w:ascii="Arial" w:cs="Arial" w:eastAsia="Arial" w:hAnsi="Arial"/>
                <w:sz w:val="16"/>
                <w:szCs w:val="16"/>
                <w:color w:val="0000FF"/>
                <w:w w:val="94"/>
              </w:rPr>
              <w:t>U.S.C Section 1350, as adopted pursuant to Section 906 of</w:t>
            </w: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700" w:type="dxa"/>
            <w:vAlign w:val="bottom"/>
            <w:gridSpan w:val="5"/>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3980" w:type="dxa"/>
            <w:vAlign w:val="bottom"/>
            <w:gridSpan w:val="9"/>
          </w:tcPr>
          <w:p>
            <w:pPr>
              <w:spacing w:after="0" w:line="183" w:lineRule="exact"/>
              <w:rPr>
                <w:sz w:val="20"/>
                <w:szCs w:val="20"/>
                <w:color w:val="auto"/>
              </w:rPr>
            </w:pPr>
            <w:r>
              <w:rPr>
                <w:rFonts w:ascii="Arial" w:cs="Arial" w:eastAsia="Arial" w:hAnsi="Arial"/>
                <w:sz w:val="16"/>
                <w:szCs w:val="16"/>
                <w:color w:val="0000FF"/>
              </w:rPr>
              <w:t>the Sarbanes-Oxley Act of 2002</w:t>
            </w: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6"/>
                <w:szCs w:val="16"/>
                <w:color w:val="auto"/>
              </w:rPr>
              <w:t>32.2</w:t>
            </w:r>
          </w:p>
        </w:tc>
        <w:tc>
          <w:tcPr>
            <w:tcW w:w="3980" w:type="dxa"/>
            <w:vAlign w:val="bottom"/>
            <w:gridSpan w:val="9"/>
          </w:tcPr>
          <w:p>
            <w:pPr>
              <w:spacing w:after="0"/>
              <w:rPr>
                <w:sz w:val="20"/>
                <w:szCs w:val="20"/>
                <w:color w:val="auto"/>
              </w:rPr>
            </w:pPr>
            <w:r>
              <w:rPr>
                <w:rFonts w:ascii="Arial" w:cs="Arial" w:eastAsia="Arial" w:hAnsi="Arial"/>
                <w:sz w:val="16"/>
                <w:szCs w:val="16"/>
                <w:color w:val="0000FF"/>
                <w:w w:val="99"/>
              </w:rPr>
              <w:t>Certification of the Chief Financial Officer pursuant to 18</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
        </w:trPr>
        <w:tc>
          <w:tcPr>
            <w:tcW w:w="1060" w:type="dxa"/>
            <w:vAlign w:val="bottom"/>
          </w:tcPr>
          <w:p>
            <w:pPr>
              <w:spacing w:after="0" w:line="20" w:lineRule="exact"/>
              <w:rPr>
                <w:sz w:val="1"/>
                <w:szCs w:val="1"/>
                <w:color w:val="auto"/>
              </w:rPr>
            </w:pPr>
          </w:p>
        </w:tc>
        <w:tc>
          <w:tcPr>
            <w:tcW w:w="3760" w:type="dxa"/>
            <w:vAlign w:val="bottom"/>
            <w:gridSpan w:val="6"/>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3980" w:type="dxa"/>
            <w:vAlign w:val="bottom"/>
            <w:gridSpan w:val="9"/>
          </w:tcPr>
          <w:p>
            <w:pPr>
              <w:spacing w:after="0" w:line="183" w:lineRule="exact"/>
              <w:rPr>
                <w:sz w:val="20"/>
                <w:szCs w:val="20"/>
                <w:color w:val="auto"/>
              </w:rPr>
            </w:pPr>
            <w:r>
              <w:rPr>
                <w:rFonts w:ascii="Arial" w:cs="Arial" w:eastAsia="Arial" w:hAnsi="Arial"/>
                <w:sz w:val="16"/>
                <w:szCs w:val="16"/>
                <w:color w:val="0000FF"/>
                <w:w w:val="93"/>
              </w:rPr>
              <w:t>U.S.C. Section 1350, as adopted pursuant to Section 906 of</w:t>
            </w: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60" w:type="dxa"/>
            <w:vAlign w:val="bottom"/>
          </w:tcPr>
          <w:p>
            <w:pPr>
              <w:spacing w:after="0" w:line="20" w:lineRule="exact"/>
              <w:rPr>
                <w:sz w:val="1"/>
                <w:szCs w:val="1"/>
                <w:color w:val="auto"/>
              </w:rPr>
            </w:pPr>
          </w:p>
        </w:tc>
        <w:tc>
          <w:tcPr>
            <w:tcW w:w="3860" w:type="dxa"/>
            <w:vAlign w:val="bottom"/>
            <w:gridSpan w:val="8"/>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3"/>
        </w:trPr>
        <w:tc>
          <w:tcPr>
            <w:tcW w:w="1060" w:type="dxa"/>
            <w:vAlign w:val="bottom"/>
          </w:tcPr>
          <w:p>
            <w:pPr>
              <w:spacing w:after="0"/>
              <w:rPr>
                <w:sz w:val="15"/>
                <w:szCs w:val="15"/>
                <w:color w:val="auto"/>
              </w:rPr>
            </w:pPr>
          </w:p>
        </w:tc>
        <w:tc>
          <w:tcPr>
            <w:tcW w:w="3980" w:type="dxa"/>
            <w:vAlign w:val="bottom"/>
            <w:gridSpan w:val="9"/>
          </w:tcPr>
          <w:p>
            <w:pPr>
              <w:spacing w:after="0" w:line="183" w:lineRule="exact"/>
              <w:rPr>
                <w:sz w:val="20"/>
                <w:szCs w:val="20"/>
                <w:color w:val="auto"/>
              </w:rPr>
            </w:pPr>
            <w:r>
              <w:rPr>
                <w:rFonts w:ascii="Arial" w:cs="Arial" w:eastAsia="Arial" w:hAnsi="Arial"/>
                <w:sz w:val="16"/>
                <w:szCs w:val="16"/>
                <w:color w:val="0000FF"/>
              </w:rPr>
              <w:t>the Sarbanes-Oxley Act of 2002</w:t>
            </w:r>
          </w:p>
        </w:tc>
        <w:tc>
          <w:tcPr>
            <w:tcW w:w="1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44"/>
        </w:trPr>
        <w:tc>
          <w:tcPr>
            <w:tcW w:w="1060" w:type="dxa"/>
            <w:vAlign w:val="bottom"/>
          </w:tcPr>
          <w:p>
            <w:pPr>
              <w:spacing w:after="0"/>
              <w:rPr>
                <w:sz w:val="20"/>
                <w:szCs w:val="20"/>
                <w:color w:val="auto"/>
              </w:rPr>
            </w:pPr>
            <w:r>
              <w:rPr>
                <w:rFonts w:ascii="Arial" w:cs="Arial" w:eastAsia="Arial" w:hAnsi="Arial"/>
                <w:sz w:val="16"/>
                <w:szCs w:val="16"/>
                <w:color w:val="auto"/>
              </w:rPr>
              <w:t>101.INS</w:t>
            </w:r>
          </w:p>
        </w:tc>
        <w:tc>
          <w:tcPr>
            <w:tcW w:w="3980" w:type="dxa"/>
            <w:vAlign w:val="bottom"/>
            <w:gridSpan w:val="9"/>
          </w:tcPr>
          <w:p>
            <w:pPr>
              <w:spacing w:after="0"/>
              <w:rPr>
                <w:sz w:val="20"/>
                <w:szCs w:val="20"/>
                <w:color w:val="auto"/>
              </w:rPr>
            </w:pPr>
            <w:r>
              <w:rPr>
                <w:rFonts w:ascii="Arial" w:cs="Arial" w:eastAsia="Arial" w:hAnsi="Arial"/>
                <w:sz w:val="16"/>
                <w:szCs w:val="16"/>
                <w:color w:val="auto"/>
              </w:rPr>
              <w:t>Inline XBRL Instance Document</w:t>
            </w: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16"/>
        </w:trPr>
        <w:tc>
          <w:tcPr>
            <w:tcW w:w="1060" w:type="dxa"/>
            <w:vAlign w:val="bottom"/>
          </w:tcPr>
          <w:p>
            <w:pPr>
              <w:spacing w:after="0"/>
              <w:rPr>
                <w:sz w:val="20"/>
                <w:szCs w:val="20"/>
                <w:color w:val="auto"/>
              </w:rPr>
            </w:pPr>
            <w:r>
              <w:rPr>
                <w:rFonts w:ascii="Arial" w:cs="Arial" w:eastAsia="Arial" w:hAnsi="Arial"/>
                <w:sz w:val="16"/>
                <w:szCs w:val="16"/>
                <w:color w:val="auto"/>
              </w:rPr>
              <w:t>101.SCH</w:t>
            </w:r>
          </w:p>
        </w:tc>
        <w:tc>
          <w:tcPr>
            <w:tcW w:w="3980" w:type="dxa"/>
            <w:vAlign w:val="bottom"/>
            <w:gridSpan w:val="9"/>
          </w:tcPr>
          <w:p>
            <w:pPr>
              <w:spacing w:after="0"/>
              <w:rPr>
                <w:sz w:val="20"/>
                <w:szCs w:val="20"/>
                <w:color w:val="auto"/>
              </w:rPr>
            </w:pPr>
            <w:r>
              <w:rPr>
                <w:rFonts w:ascii="Arial" w:cs="Arial" w:eastAsia="Arial" w:hAnsi="Arial"/>
                <w:sz w:val="16"/>
                <w:szCs w:val="16"/>
                <w:color w:val="auto"/>
              </w:rPr>
              <w:t>Inline XBRL Taxonomy Extension Schema Document</w:t>
            </w: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26"/>
        </w:trPr>
        <w:tc>
          <w:tcPr>
            <w:tcW w:w="1060" w:type="dxa"/>
            <w:vAlign w:val="bottom"/>
          </w:tcPr>
          <w:p>
            <w:pPr>
              <w:spacing w:after="0"/>
              <w:rPr>
                <w:sz w:val="20"/>
                <w:szCs w:val="20"/>
                <w:color w:val="auto"/>
              </w:rPr>
            </w:pPr>
            <w:r>
              <w:rPr>
                <w:rFonts w:ascii="Arial" w:cs="Arial" w:eastAsia="Arial" w:hAnsi="Arial"/>
                <w:sz w:val="16"/>
                <w:szCs w:val="16"/>
                <w:color w:val="auto"/>
              </w:rPr>
              <w:t>101.CAL</w:t>
            </w:r>
          </w:p>
        </w:tc>
        <w:tc>
          <w:tcPr>
            <w:tcW w:w="3980" w:type="dxa"/>
            <w:vAlign w:val="bottom"/>
            <w:gridSpan w:val="9"/>
          </w:tcPr>
          <w:p>
            <w:pPr>
              <w:spacing w:after="0"/>
              <w:rPr>
                <w:sz w:val="20"/>
                <w:szCs w:val="20"/>
                <w:color w:val="auto"/>
              </w:rPr>
            </w:pPr>
            <w:r>
              <w:rPr>
                <w:rFonts w:ascii="Arial" w:cs="Arial" w:eastAsia="Arial" w:hAnsi="Arial"/>
                <w:sz w:val="16"/>
                <w:szCs w:val="16"/>
                <w:color w:val="auto"/>
              </w:rPr>
              <w:t>Inline XBRL Taxonomy Extension Calculation Linkbase</w:t>
            </w: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6"/>
        </w:trPr>
        <w:tc>
          <w:tcPr>
            <w:tcW w:w="1060" w:type="dxa"/>
            <w:vAlign w:val="bottom"/>
          </w:tcPr>
          <w:p>
            <w:pPr>
              <w:spacing w:after="0"/>
              <w:rPr>
                <w:sz w:val="17"/>
                <w:szCs w:val="17"/>
                <w:color w:val="auto"/>
              </w:rPr>
            </w:pPr>
          </w:p>
        </w:tc>
        <w:tc>
          <w:tcPr>
            <w:tcW w:w="398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6"/>
        </w:trPr>
        <w:tc>
          <w:tcPr>
            <w:tcW w:w="1060" w:type="dxa"/>
            <w:vAlign w:val="bottom"/>
          </w:tcPr>
          <w:p>
            <w:pPr>
              <w:spacing w:after="0"/>
              <w:rPr>
                <w:sz w:val="20"/>
                <w:szCs w:val="20"/>
                <w:color w:val="auto"/>
              </w:rPr>
            </w:pPr>
            <w:r>
              <w:rPr>
                <w:rFonts w:ascii="Arial" w:cs="Arial" w:eastAsia="Arial" w:hAnsi="Arial"/>
                <w:sz w:val="16"/>
                <w:szCs w:val="16"/>
                <w:color w:val="auto"/>
              </w:rPr>
              <w:t>101.DEF</w:t>
            </w:r>
          </w:p>
        </w:tc>
        <w:tc>
          <w:tcPr>
            <w:tcW w:w="3980" w:type="dxa"/>
            <w:vAlign w:val="bottom"/>
            <w:gridSpan w:val="9"/>
          </w:tcPr>
          <w:p>
            <w:pPr>
              <w:spacing w:after="0"/>
              <w:rPr>
                <w:sz w:val="20"/>
                <w:szCs w:val="20"/>
                <w:color w:val="auto"/>
              </w:rPr>
            </w:pPr>
            <w:r>
              <w:rPr>
                <w:rFonts w:ascii="Arial" w:cs="Arial" w:eastAsia="Arial" w:hAnsi="Arial"/>
                <w:sz w:val="16"/>
                <w:szCs w:val="16"/>
                <w:color w:val="auto"/>
              </w:rPr>
              <w:t>Inline XBRL Taxonomy Extension Definition Linkbase</w:t>
            </w: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6"/>
        </w:trPr>
        <w:tc>
          <w:tcPr>
            <w:tcW w:w="1060" w:type="dxa"/>
            <w:vAlign w:val="bottom"/>
          </w:tcPr>
          <w:p>
            <w:pPr>
              <w:spacing w:after="0"/>
              <w:rPr>
                <w:sz w:val="17"/>
                <w:szCs w:val="17"/>
                <w:color w:val="auto"/>
              </w:rPr>
            </w:pPr>
          </w:p>
        </w:tc>
        <w:tc>
          <w:tcPr>
            <w:tcW w:w="398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6"/>
        </w:trPr>
        <w:tc>
          <w:tcPr>
            <w:tcW w:w="1060" w:type="dxa"/>
            <w:vAlign w:val="bottom"/>
          </w:tcPr>
          <w:p>
            <w:pPr>
              <w:spacing w:after="0"/>
              <w:rPr>
                <w:sz w:val="20"/>
                <w:szCs w:val="20"/>
                <w:color w:val="auto"/>
              </w:rPr>
            </w:pPr>
            <w:r>
              <w:rPr>
                <w:rFonts w:ascii="Arial" w:cs="Arial" w:eastAsia="Arial" w:hAnsi="Arial"/>
                <w:sz w:val="16"/>
                <w:szCs w:val="16"/>
                <w:color w:val="auto"/>
              </w:rPr>
              <w:t>101.LAB</w:t>
            </w:r>
          </w:p>
        </w:tc>
        <w:tc>
          <w:tcPr>
            <w:tcW w:w="3980" w:type="dxa"/>
            <w:vAlign w:val="bottom"/>
            <w:gridSpan w:val="9"/>
          </w:tcPr>
          <w:p>
            <w:pPr>
              <w:spacing w:after="0"/>
              <w:rPr>
                <w:sz w:val="20"/>
                <w:szCs w:val="20"/>
                <w:color w:val="auto"/>
              </w:rPr>
            </w:pPr>
            <w:r>
              <w:rPr>
                <w:rFonts w:ascii="Arial" w:cs="Arial" w:eastAsia="Arial" w:hAnsi="Arial"/>
                <w:sz w:val="16"/>
                <w:szCs w:val="16"/>
                <w:color w:val="auto"/>
              </w:rPr>
              <w:t>Inline XBRL Taxonomy Extension Label Linkbase</w:t>
            </w: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6"/>
        </w:trPr>
        <w:tc>
          <w:tcPr>
            <w:tcW w:w="1060" w:type="dxa"/>
            <w:vAlign w:val="bottom"/>
          </w:tcPr>
          <w:p>
            <w:pPr>
              <w:spacing w:after="0"/>
              <w:rPr>
                <w:sz w:val="17"/>
                <w:szCs w:val="17"/>
                <w:color w:val="auto"/>
              </w:rPr>
            </w:pPr>
          </w:p>
        </w:tc>
        <w:tc>
          <w:tcPr>
            <w:tcW w:w="398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6"/>
        </w:trPr>
        <w:tc>
          <w:tcPr>
            <w:tcW w:w="1060" w:type="dxa"/>
            <w:vAlign w:val="bottom"/>
          </w:tcPr>
          <w:p>
            <w:pPr>
              <w:spacing w:after="0"/>
              <w:rPr>
                <w:sz w:val="20"/>
                <w:szCs w:val="20"/>
                <w:color w:val="auto"/>
              </w:rPr>
            </w:pPr>
            <w:r>
              <w:rPr>
                <w:rFonts w:ascii="Arial" w:cs="Arial" w:eastAsia="Arial" w:hAnsi="Arial"/>
                <w:sz w:val="16"/>
                <w:szCs w:val="16"/>
                <w:color w:val="auto"/>
              </w:rPr>
              <w:t>101.PRE</w:t>
            </w:r>
          </w:p>
        </w:tc>
        <w:tc>
          <w:tcPr>
            <w:tcW w:w="3980" w:type="dxa"/>
            <w:vAlign w:val="bottom"/>
            <w:gridSpan w:val="9"/>
          </w:tcPr>
          <w:p>
            <w:pPr>
              <w:spacing w:after="0"/>
              <w:rPr>
                <w:sz w:val="20"/>
                <w:szCs w:val="20"/>
                <w:color w:val="auto"/>
              </w:rPr>
            </w:pPr>
            <w:r>
              <w:rPr>
                <w:rFonts w:ascii="Arial" w:cs="Arial" w:eastAsia="Arial" w:hAnsi="Arial"/>
                <w:sz w:val="16"/>
                <w:szCs w:val="16"/>
                <w:color w:val="auto"/>
                <w:w w:val="98"/>
              </w:rPr>
              <w:t>Inline XBRL Taxonomy Extension Presentation Linkbase</w:t>
            </w: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6"/>
        </w:trPr>
        <w:tc>
          <w:tcPr>
            <w:tcW w:w="1060" w:type="dxa"/>
            <w:vAlign w:val="bottom"/>
          </w:tcPr>
          <w:p>
            <w:pPr>
              <w:spacing w:after="0"/>
              <w:rPr>
                <w:sz w:val="17"/>
                <w:szCs w:val="17"/>
                <w:color w:val="auto"/>
              </w:rPr>
            </w:pPr>
          </w:p>
        </w:tc>
        <w:tc>
          <w:tcPr>
            <w:tcW w:w="3980" w:type="dxa"/>
            <w:vAlign w:val="bottom"/>
            <w:gridSpan w:val="9"/>
          </w:tcPr>
          <w:p>
            <w:pPr>
              <w:spacing w:after="0"/>
              <w:rPr>
                <w:sz w:val="20"/>
                <w:szCs w:val="20"/>
                <w:color w:val="auto"/>
              </w:rPr>
            </w:pPr>
            <w:r>
              <w:rPr>
                <w:rFonts w:ascii="Arial" w:cs="Arial" w:eastAsia="Arial" w:hAnsi="Arial"/>
                <w:sz w:val="16"/>
                <w:szCs w:val="16"/>
                <w:color w:val="auto"/>
              </w:rPr>
              <w:t>Document</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6"/>
        </w:trPr>
        <w:tc>
          <w:tcPr>
            <w:tcW w:w="1060" w:type="dxa"/>
            <w:vAlign w:val="bottom"/>
          </w:tcPr>
          <w:p>
            <w:pPr>
              <w:spacing w:after="0"/>
              <w:rPr>
                <w:sz w:val="20"/>
                <w:szCs w:val="20"/>
                <w:color w:val="auto"/>
              </w:rPr>
            </w:pPr>
            <w:r>
              <w:rPr>
                <w:rFonts w:ascii="Arial" w:cs="Arial" w:eastAsia="Arial" w:hAnsi="Arial"/>
                <w:sz w:val="16"/>
                <w:szCs w:val="16"/>
                <w:color w:val="auto"/>
              </w:rPr>
              <w:t>104</w:t>
            </w:r>
          </w:p>
        </w:tc>
        <w:tc>
          <w:tcPr>
            <w:tcW w:w="3980" w:type="dxa"/>
            <w:vAlign w:val="bottom"/>
            <w:gridSpan w:val="9"/>
          </w:tcPr>
          <w:p>
            <w:pPr>
              <w:spacing w:after="0"/>
              <w:rPr>
                <w:sz w:val="20"/>
                <w:szCs w:val="20"/>
                <w:color w:val="auto"/>
              </w:rPr>
            </w:pPr>
            <w:r>
              <w:rPr>
                <w:rFonts w:ascii="Arial" w:cs="Arial" w:eastAsia="Arial" w:hAnsi="Arial"/>
                <w:sz w:val="16"/>
                <w:szCs w:val="16"/>
                <w:color w:val="auto"/>
                <w:w w:val="94"/>
              </w:rPr>
              <w:t>Cover Page Interactive Data File (formatted as Inline XBRL</w:t>
            </w: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20" w:type="dxa"/>
            <w:vAlign w:val="bottom"/>
          </w:tcPr>
          <w:p>
            <w:pPr>
              <w:jc w:val="center"/>
              <w:ind w:left="559"/>
              <w:spacing w:after="0"/>
              <w:rPr>
                <w:sz w:val="20"/>
                <w:szCs w:val="20"/>
                <w:color w:val="auto"/>
              </w:rPr>
            </w:pPr>
            <w:r>
              <w:rPr>
                <w:rFonts w:ascii="Arial" w:cs="Arial" w:eastAsia="Arial" w:hAnsi="Arial"/>
                <w:sz w:val="16"/>
                <w:szCs w:val="16"/>
                <w:color w:val="auto"/>
              </w:rPr>
              <w:t>*</w:t>
            </w:r>
          </w:p>
        </w:tc>
      </w:tr>
      <w:tr>
        <w:trPr>
          <w:trHeight w:val="206"/>
        </w:trPr>
        <w:tc>
          <w:tcPr>
            <w:tcW w:w="1060" w:type="dxa"/>
            <w:vAlign w:val="bottom"/>
          </w:tcPr>
          <w:p>
            <w:pPr>
              <w:spacing w:after="0"/>
              <w:rPr>
                <w:sz w:val="17"/>
                <w:szCs w:val="17"/>
                <w:color w:val="auto"/>
              </w:rPr>
            </w:pPr>
          </w:p>
        </w:tc>
        <w:tc>
          <w:tcPr>
            <w:tcW w:w="3980" w:type="dxa"/>
            <w:vAlign w:val="bottom"/>
            <w:gridSpan w:val="9"/>
          </w:tcPr>
          <w:p>
            <w:pPr>
              <w:spacing w:after="0"/>
              <w:rPr>
                <w:sz w:val="20"/>
                <w:szCs w:val="20"/>
                <w:color w:val="auto"/>
              </w:rPr>
            </w:pPr>
            <w:r>
              <w:rPr>
                <w:rFonts w:ascii="Arial" w:cs="Arial" w:eastAsia="Arial" w:hAnsi="Arial"/>
                <w:sz w:val="16"/>
                <w:szCs w:val="16"/>
                <w:color w:val="auto"/>
              </w:rPr>
              <w:t>and contained in Exhibit 101)</w:t>
            </w:r>
          </w:p>
        </w:tc>
        <w:tc>
          <w:tcPr>
            <w:tcW w:w="1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12" w:lineRule="exact"/>
        <w:rPr>
          <w:sz w:val="20"/>
          <w:szCs w:val="20"/>
          <w:color w:val="auto"/>
        </w:rPr>
      </w:pPr>
    </w:p>
    <w:p>
      <w:pPr>
        <w:ind w:left="620" w:hanging="612"/>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2" w:lineRule="exact"/>
        <w:rPr>
          <w:sz w:val="20"/>
          <w:szCs w:val="20"/>
          <w:color w:val="auto"/>
        </w:rPr>
      </w:pPr>
    </w:p>
    <w:p>
      <w:pPr>
        <w:ind w:left="620" w:hanging="612"/>
        <w:spacing w:after="0"/>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19" w:lineRule="exact"/>
        <w:rPr>
          <w:sz w:val="20"/>
          <w:szCs w:val="20"/>
          <w:color w:val="auto"/>
        </w:rPr>
      </w:pPr>
    </w:p>
    <w:p>
      <w:pPr>
        <w:ind w:left="620" w:hanging="612"/>
        <w:spacing w:after="0"/>
        <w:tabs>
          <w:tab w:leader="none" w:pos="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Indicates a management or compensatory plan</w:t>
      </w:r>
    </w:p>
    <w:p>
      <w:pPr>
        <w:spacing w:after="0" w:line="22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37" w:right="779" w:bottom="1440" w:gutter="0" w:footer="0" w:header="0"/>
        </w:sectPr>
      </w:pPr>
    </w:p>
    <w:bookmarkStart w:id="36" w:name="page37"/>
    <w:bookmarkEnd w:id="36"/>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SIGHT SCIENCES, INC</w:t>
      </w:r>
    </w:p>
    <w:p>
      <w:pPr>
        <w:spacing w:after="0" w:line="279" w:lineRule="exact"/>
        <w:rPr>
          <w:sz w:val="20"/>
          <w:szCs w:val="20"/>
          <w:color w:val="auto"/>
        </w:rPr>
      </w:pPr>
    </w:p>
    <w:p>
      <w:pPr>
        <w:ind w:left="80"/>
        <w:spacing w:after="0"/>
        <w:tabs>
          <w:tab w:leader="none" w:pos="6120" w:val="left"/>
          <w:tab w:leader="none" w:pos="6600" w:val="left"/>
        </w:tabs>
        <w:rPr>
          <w:sz w:val="20"/>
          <w:szCs w:val="20"/>
          <w:color w:val="auto"/>
        </w:rPr>
      </w:pPr>
      <w:r>
        <w:rPr>
          <w:rFonts w:ascii="Arial" w:cs="Arial" w:eastAsia="Arial" w:hAnsi="Arial"/>
          <w:sz w:val="18"/>
          <w:szCs w:val="18"/>
          <w:color w:val="auto"/>
        </w:rPr>
        <w:t>August 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Alison Bauerlein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23495</wp:posOffset>
            </wp:positionV>
            <wp:extent cx="29063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Alison Bauerlein</w:t>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337" w:right="799" w:bottom="1440" w:gutter="0" w:footer="0" w:header="0"/>
        </w:sectPr>
      </w:pPr>
    </w:p>
    <w:bookmarkStart w:id="37" w:name="page38"/>
    <w:bookmarkEnd w:id="3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Badawi, certify that:</w:t>
      </w:r>
    </w:p>
    <w:p>
      <w:pPr>
        <w:spacing w:after="0" w:line="225"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2023 of Sight Sciences, Inc.;</w:t>
      </w:r>
    </w:p>
    <w:p>
      <w:pPr>
        <w:spacing w:after="0" w:line="225" w:lineRule="exact"/>
        <w:rPr>
          <w:rFonts w:ascii="Arial" w:cs="Arial" w:eastAsia="Arial" w:hAnsi="Arial"/>
          <w:sz w:val="18"/>
          <w:szCs w:val="18"/>
          <w:color w:val="auto"/>
        </w:rPr>
      </w:pPr>
    </w:p>
    <w:p>
      <w:pPr>
        <w:jc w:val="both"/>
        <w:ind w:left="520" w:right="240" w:hanging="512"/>
        <w:spacing w:after="0" w:line="26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40" w:hanging="369"/>
        <w:spacing w:after="0" w:line="286" w:lineRule="auto"/>
        <w:tabs>
          <w:tab w:leader="none" w:pos="150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00" w:hanging="369"/>
        <w:spacing w:after="0" w:line="2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500" w:hanging="369"/>
        <w:spacing w:after="0" w:line="342" w:lineRule="auto"/>
        <w:tabs>
          <w:tab w:leader="none" w:pos="1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40" w:hanging="369"/>
        <w:spacing w:after="0" w:line="263"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500" w:right="300" w:hanging="369"/>
        <w:spacing w:after="0" w:line="342" w:lineRule="auto"/>
        <w:tabs>
          <w:tab w:leader="none" w:pos="15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80" w:hanging="369"/>
        <w:spacing w:after="0" w:line="277"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August 7, 2023</w:t>
      </w:r>
    </w:p>
    <w:p>
      <w:pPr>
        <w:spacing w:after="0" w:line="36" w:lineRule="exact"/>
        <w:rPr>
          <w:sz w:val="20"/>
          <w:szCs w:val="20"/>
          <w:color w:val="auto"/>
        </w:rPr>
      </w:pPr>
    </w:p>
    <w:p>
      <w:pPr>
        <w:ind w:left="7260"/>
        <w:spacing w:after="0"/>
        <w:rPr>
          <w:sz w:val="20"/>
          <w:szCs w:val="20"/>
          <w:color w:val="auto"/>
        </w:rPr>
      </w:pPr>
      <w:r>
        <w:rPr>
          <w:rFonts w:ascii="Arial" w:cs="Arial" w:eastAsia="Arial" w:hAnsi="Arial"/>
          <w:sz w:val="18"/>
          <w:szCs w:val="18"/>
          <w:u w:val="single" w:color="auto"/>
          <w:color w:val="auto"/>
        </w:rPr>
        <w:t>/s/ Paul Badawi</w:t>
      </w:r>
    </w:p>
    <w:p>
      <w:pPr>
        <w:spacing w:after="0" w:line="32"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Paul Badawi</w:t>
      </w:r>
    </w:p>
    <w:p>
      <w:pPr>
        <w:spacing w:after="0" w:line="27"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44" w:right="1440" w:bottom="1440" w:gutter="0" w:footer="0" w:header="0"/>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Alison Bauerlein, certify that:</w:t>
      </w:r>
    </w:p>
    <w:p>
      <w:pPr>
        <w:spacing w:after="0" w:line="21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2023 of Sight Sciences, Inc.;</w:t>
      </w:r>
    </w:p>
    <w:p>
      <w:pPr>
        <w:spacing w:after="0" w:line="225" w:lineRule="exact"/>
        <w:rPr>
          <w:rFonts w:ascii="Arial" w:cs="Arial" w:eastAsia="Arial" w:hAnsi="Arial"/>
          <w:sz w:val="18"/>
          <w:szCs w:val="18"/>
          <w:color w:val="auto"/>
        </w:rPr>
      </w:pPr>
    </w:p>
    <w:p>
      <w:pPr>
        <w:jc w:val="both"/>
        <w:ind w:left="520" w:right="24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20" w:right="260" w:hanging="512"/>
        <w:spacing w:after="0" w:line="263"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40" w:hanging="369"/>
        <w:spacing w:after="0" w:line="286" w:lineRule="auto"/>
        <w:tabs>
          <w:tab w:leader="none" w:pos="15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00" w:hanging="369"/>
        <w:spacing w:after="0" w:line="263"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500" w:hanging="369"/>
        <w:spacing w:after="0" w:line="342"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40" w:hanging="369"/>
        <w:spacing w:after="0" w:line="263"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20" w:right="140" w:hanging="512"/>
        <w:spacing w:after="0" w:line="308" w:lineRule="auto"/>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500" w:right="300" w:hanging="369"/>
        <w:spacing w:after="0" w:line="342" w:lineRule="auto"/>
        <w:tabs>
          <w:tab w:leader="none" w:pos="15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80" w:hanging="369"/>
        <w:spacing w:after="0" w:line="277" w:lineRule="auto"/>
        <w:tabs>
          <w:tab w:leader="none" w:pos="15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7, 2023</w:t>
      </w:r>
    </w:p>
    <w:p>
      <w:pPr>
        <w:spacing w:after="0" w:line="36" w:lineRule="exact"/>
        <w:rPr>
          <w:sz w:val="20"/>
          <w:szCs w:val="20"/>
          <w:color w:val="auto"/>
        </w:rPr>
      </w:pPr>
    </w:p>
    <w:p>
      <w:pPr>
        <w:ind w:left="7540"/>
        <w:spacing w:after="0"/>
        <w:rPr>
          <w:sz w:val="20"/>
          <w:szCs w:val="20"/>
          <w:color w:val="auto"/>
        </w:rPr>
      </w:pPr>
      <w:r>
        <w:rPr>
          <w:rFonts w:ascii="Arial" w:cs="Arial" w:eastAsia="Arial" w:hAnsi="Arial"/>
          <w:sz w:val="18"/>
          <w:szCs w:val="18"/>
          <w:u w:val="single" w:color="auto"/>
          <w:color w:val="auto"/>
        </w:rPr>
        <w:t>/s/ Alison Bauerlein</w:t>
      </w:r>
    </w:p>
    <w:p>
      <w:pPr>
        <w:spacing w:after="0" w:line="32"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Alison Bauerlein</w:t>
      </w:r>
    </w:p>
    <w:p>
      <w:pPr>
        <w:spacing w:after="0" w:line="27" w:lineRule="exact"/>
        <w:rPr>
          <w:sz w:val="20"/>
          <w:szCs w:val="20"/>
          <w:color w:val="auto"/>
        </w:rPr>
      </w:pPr>
    </w:p>
    <w:p>
      <w:pPr>
        <w:ind w:left="72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1"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Sight Sciences,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that, to his knowledge:</w:t>
      </w:r>
    </w:p>
    <w:p>
      <w:pPr>
        <w:spacing w:after="0" w:line="170" w:lineRule="exact"/>
        <w:rPr>
          <w:sz w:val="20"/>
          <w:szCs w:val="20"/>
          <w:color w:val="auto"/>
        </w:rPr>
      </w:pPr>
    </w:p>
    <w:p>
      <w:pPr>
        <w:ind w:left="1280" w:right="160" w:hanging="757"/>
        <w:spacing w:after="0" w:line="308" w:lineRule="auto"/>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quarterly period ended June 30, 2023 (the “</w:t>
      </w:r>
      <w:r>
        <w:rPr>
          <w:rFonts w:ascii="Arial" w:cs="Arial" w:eastAsia="Arial" w:hAnsi="Arial"/>
          <w:sz w:val="17"/>
          <w:szCs w:val="17"/>
          <w:u w:val="single" w:color="auto"/>
          <w:color w:val="auto"/>
        </w:rPr>
        <w:t>Report</w:t>
      </w:r>
      <w:r>
        <w:rPr>
          <w:rFonts w:ascii="Arial" w:cs="Arial" w:eastAsia="Arial" w:hAnsi="Arial"/>
          <w:sz w:val="17"/>
          <w:szCs w:val="17"/>
          <w:color w:val="auto"/>
        </w:rPr>
        <w: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1280" w:right="360" w:hanging="757"/>
        <w:spacing w:after="0" w:line="277" w:lineRule="auto"/>
        <w:tabs>
          <w:tab w:leader="none" w:pos="1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360"/>
        <w:spacing w:after="0"/>
        <w:tabs>
          <w:tab w:leader="none" w:pos="1460" w:val="left"/>
        </w:tabs>
        <w:rPr>
          <w:sz w:val="20"/>
          <w:szCs w:val="20"/>
          <w:color w:val="auto"/>
        </w:rPr>
      </w:pPr>
      <w:r>
        <w:rPr>
          <w:rFonts w:ascii="Arial" w:cs="Arial" w:eastAsia="Arial" w:hAnsi="Arial"/>
          <w:sz w:val="18"/>
          <w:szCs w:val="18"/>
          <w:color w:val="auto"/>
        </w:rPr>
        <w:t>Dated:  August 7, 2023</w:t>
      </w:r>
      <w:r>
        <w:rPr>
          <w:sz w:val="20"/>
          <w:szCs w:val="20"/>
          <w:color w:val="auto"/>
        </w:rPr>
        <w:tab/>
      </w:r>
      <w:r>
        <w:rPr>
          <w:rFonts w:ascii="Arial" w:cs="Arial" w:eastAsia="Arial" w:hAnsi="Arial"/>
          <w:sz w:val="16"/>
          <w:szCs w:val="16"/>
          <w:u w:val="single" w:color="auto"/>
          <w:color w:val="auto"/>
        </w:rPr>
        <w:t>/s/ Paul Badawi</w:t>
      </w:r>
    </w:p>
    <w:p>
      <w:pPr>
        <w:spacing w:after="0" w:line="36"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Paul Badawi</w:t>
      </w:r>
    </w:p>
    <w:p>
      <w:pPr>
        <w:spacing w:after="0" w:line="36"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Chief Executive Officer</w:t>
      </w:r>
    </w:p>
    <w:p>
      <w:pPr>
        <w:spacing w:after="0" w:line="239"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549910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44" w:name="page45"/>
    <w:bookmarkEnd w:id="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1" w:lineRule="exact"/>
        <w:rPr>
          <w:sz w:val="20"/>
          <w:szCs w:val="20"/>
          <w:color w:val="auto"/>
        </w:rPr>
      </w:pPr>
    </w:p>
    <w:p>
      <w:pPr>
        <w:ind w:right="540" w:firstLine="360"/>
        <w:spacing w:after="0" w:line="277" w:lineRule="auto"/>
        <w:rPr>
          <w:sz w:val="20"/>
          <w:szCs w:val="20"/>
          <w:color w:val="auto"/>
        </w:rPr>
      </w:pPr>
      <w:r>
        <w:rPr>
          <w:rFonts w:ascii="Arial" w:cs="Arial" w:eastAsia="Arial" w:hAnsi="Arial"/>
          <w:sz w:val="18"/>
          <w:szCs w:val="18"/>
          <w:color w:val="auto"/>
        </w:rPr>
        <w:t>Pursuant to 18 U.S.C. § 1350, as created by Section 906 of the Sarbanes-Oxley Act of 2002, the undersigned officer of Sight Sciences,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certifies that, to her knowledge:</w:t>
      </w:r>
    </w:p>
    <w:p>
      <w:pPr>
        <w:spacing w:after="0" w:line="170" w:lineRule="exact"/>
        <w:rPr>
          <w:sz w:val="20"/>
          <w:szCs w:val="20"/>
          <w:color w:val="auto"/>
        </w:rPr>
      </w:pPr>
    </w:p>
    <w:p>
      <w:pPr>
        <w:ind w:left="1280" w:right="160" w:hanging="757"/>
        <w:spacing w:after="0" w:line="308"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quarterly period ended June 30, 2023 (the “</w:t>
      </w:r>
      <w:r>
        <w:rPr>
          <w:rFonts w:ascii="Arial" w:cs="Arial" w:eastAsia="Arial" w:hAnsi="Arial"/>
          <w:sz w:val="17"/>
          <w:szCs w:val="17"/>
          <w:u w:val="single" w:color="auto"/>
          <w:color w:val="auto"/>
        </w:rPr>
        <w:t>Report</w:t>
      </w:r>
      <w:r>
        <w:rPr>
          <w:rFonts w:ascii="Arial" w:cs="Arial" w:eastAsia="Arial" w:hAnsi="Arial"/>
          <w:sz w:val="17"/>
          <w:szCs w:val="17"/>
          <w:color w:val="auto"/>
        </w:rPr>
        <w:t>”) fully complies with the requirements of Section 13(a) or Section 15(d), as applicable, of the Securities Exchange Act of 1934, as amended; and</w:t>
      </w:r>
    </w:p>
    <w:p>
      <w:pPr>
        <w:spacing w:after="0" w:line="146" w:lineRule="exact"/>
        <w:rPr>
          <w:rFonts w:ascii="Arial" w:cs="Arial" w:eastAsia="Arial" w:hAnsi="Arial"/>
          <w:sz w:val="17"/>
          <w:szCs w:val="17"/>
          <w:color w:val="auto"/>
        </w:rPr>
      </w:pPr>
    </w:p>
    <w:p>
      <w:pPr>
        <w:ind w:left="1280" w:right="360" w:hanging="757"/>
        <w:spacing w:after="0" w:line="277" w:lineRule="auto"/>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360"/>
        <w:spacing w:after="0"/>
        <w:tabs>
          <w:tab w:leader="none" w:pos="1760" w:val="left"/>
        </w:tabs>
        <w:rPr>
          <w:sz w:val="20"/>
          <w:szCs w:val="20"/>
          <w:color w:val="auto"/>
        </w:rPr>
      </w:pPr>
      <w:r>
        <w:rPr>
          <w:rFonts w:ascii="Arial" w:cs="Arial" w:eastAsia="Arial" w:hAnsi="Arial"/>
          <w:sz w:val="18"/>
          <w:szCs w:val="18"/>
          <w:color w:val="auto"/>
        </w:rPr>
        <w:t>Dated:  August 7, 2023</w:t>
      </w:r>
      <w:r>
        <w:rPr>
          <w:sz w:val="20"/>
          <w:szCs w:val="20"/>
          <w:color w:val="auto"/>
        </w:rPr>
        <w:tab/>
      </w:r>
      <w:r>
        <w:rPr>
          <w:rFonts w:ascii="Arial" w:cs="Arial" w:eastAsia="Arial" w:hAnsi="Arial"/>
          <w:sz w:val="16"/>
          <w:szCs w:val="16"/>
          <w:u w:val="single" w:color="auto"/>
          <w:color w:val="auto"/>
        </w:rPr>
        <w:t>/s/ Alison Bauerlein</w:t>
      </w:r>
    </w:p>
    <w:p>
      <w:pPr>
        <w:spacing w:after="0" w:line="36"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Alison Bauerlein</w:t>
      </w:r>
    </w:p>
    <w:p>
      <w:pPr>
        <w:spacing w:after="0" w:line="36" w:lineRule="exact"/>
        <w:rPr>
          <w:sz w:val="20"/>
          <w:szCs w:val="20"/>
          <w:color w:val="auto"/>
        </w:rPr>
      </w:pPr>
    </w:p>
    <w:p>
      <w:pPr>
        <w:jc w:val="right"/>
        <w:ind w:right="3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5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31" Type="http://schemas.openxmlformats.org/officeDocument/2006/relationships/hyperlink" Target="https://www.sec.gov/Archives/edgar/data/1531177/000119312521218705/d116785dex31.htm" TargetMode="External"/><Relationship Id="rId232" Type="http://schemas.openxmlformats.org/officeDocument/2006/relationships/hyperlink" Target="https://www.sec.gov/Archives/edgar/data/1531177/000119312521218705/d116785dex32.htm" TargetMode="External"/><Relationship Id="rId233" Type="http://schemas.openxmlformats.org/officeDocument/2006/relationships/hyperlink" Target="https://www.sec.gov/Archives/edgar/data/1531177/000095017023018865/sght-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2023-08-07T15:50:01Z</dcterms:created>
  <dcterms:modified xsi:type="dcterms:W3CDTF">2023-08-07T15:50:01Z</dcterms:modified>
</cp:coreProperties>
</file>