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Badawi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76"/>
        <w:gridCol w:w="443"/>
        <w:gridCol w:w="792"/>
        <w:gridCol w:w="1308"/>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7,797</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9.049</w:t>
            </w:r>
            <w:r>
              <w:rPr>
                <w:rFonts w:ascii="Times;serif" w:hAnsi="Times;serif"/>
                <w:color w:val="008000"/>
                <w:position w:val="7"/>
                <w:sz w:val="16"/>
                <w:sz w:val="20"/>
                <w:shd w:fill="FFFFFF" w:val="clear"/>
              </w:rPr>
              <w:t>(2)</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1,975,075</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$8.87 to $9.25,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1,823,160 shares of Common Stock, and (ii) 151,915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/s/Kashif Rashid, Attorney-in-Fact for David Badawi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825"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3841</Characters>
  <CharactersWithSpaces>4481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