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Rashid Kashif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55"/>
        <w:gridCol w:w="451"/>
        <w:gridCol w:w="667"/>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181,818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181,818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made to the Reporting Person under the Issuer's 2021 Incentive Award Plan (the "2021 Plan"). The RSUs vest in four equal annual installments commencing August 10, 2027 and continuing through August 10, 2030, subject to the Reporting Person's continued service to the Issuer through each vesting date. Each RSU represents a contingent right to receive one share of the Issuer's common stock, par value $0.001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5900"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3479</Characters>
  <CharactersWithSpaces>4053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