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620" w:hanging="3799"/>
        <w:spacing w:after="0" w:line="352"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3320" w:right="1600" w:hanging="3299"/>
        <w:spacing w:after="0" w:line="360"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SIGHT SCIENCES, INC.</w:t>
      </w:r>
    </w:p>
    <w:p>
      <w:pPr>
        <w:sectPr>
          <w:pgSz w:w="11900" w:h="16838" w:orient="portrait"/>
          <w:cols w:equalWidth="0" w:num="1">
            <w:col w:w="11240"/>
          </w:cols>
          <w:pgMar w:left="320" w:top="841"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80-0625749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700" w:space="240"/>
            <w:col w:w="3300"/>
          </w:cols>
          <w:pgMar w:left="320" w:top="841" w:right="339" w:bottom="1440" w:gutter="0" w:footer="0" w:header="0"/>
          <w:type w:val="continuous"/>
        </w:sectPr>
      </w:pPr>
    </w:p>
    <w:p>
      <w:pPr>
        <w:ind w:left="1680"/>
        <w:spacing w:after="0"/>
        <w:rPr>
          <w:sz w:val="20"/>
          <w:szCs w:val="20"/>
          <w:color w:val="auto"/>
        </w:rPr>
      </w:pPr>
      <w:r>
        <w:rPr>
          <w:rFonts w:ascii="Arial" w:cs="Arial" w:eastAsia="Arial" w:hAnsi="Arial"/>
          <w:sz w:val="18"/>
          <w:szCs w:val="18"/>
          <w:b w:val="1"/>
          <w:bCs w:val="1"/>
          <w:color w:val="auto"/>
        </w:rPr>
        <w:t>4040 Campbell Ave, Suite 100</w:t>
      </w:r>
    </w:p>
    <w:p>
      <w:pPr>
        <w:ind w:left="2180"/>
        <w:spacing w:after="0"/>
        <w:tabs>
          <w:tab w:leader="none" w:pos="8180" w:val="left"/>
        </w:tabs>
        <w:rPr>
          <w:sz w:val="20"/>
          <w:szCs w:val="20"/>
          <w:color w:val="auto"/>
        </w:rPr>
      </w:pPr>
      <w:r>
        <w:rPr>
          <w:rFonts w:ascii="Arial" w:cs="Arial" w:eastAsia="Arial" w:hAnsi="Arial"/>
          <w:sz w:val="18"/>
          <w:szCs w:val="18"/>
          <w:b w:val="1"/>
          <w:bCs w:val="1"/>
          <w:color w:val="auto"/>
        </w:rPr>
        <w:t>Menlo Park, CA</w:t>
      </w:r>
      <w:r>
        <w:rPr>
          <w:sz w:val="20"/>
          <w:szCs w:val="20"/>
          <w:color w:val="auto"/>
        </w:rPr>
        <w:tab/>
      </w:r>
      <w:r>
        <w:rPr>
          <w:rFonts w:ascii="Arial" w:cs="Arial" w:eastAsia="Arial" w:hAnsi="Arial"/>
          <w:sz w:val="16"/>
          <w:szCs w:val="16"/>
          <w:b w:val="1"/>
          <w:bCs w:val="1"/>
          <w:color w:val="auto"/>
        </w:rPr>
        <w:t>94025</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266-1144</w:t>
      </w:r>
    </w:p>
    <w:p>
      <w:pPr>
        <w:spacing w:after="0" w:line="63"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SGHT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59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100" w:firstLine="59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2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2"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6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2022, the registrant had 47,590,348 shares of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3880" w:type="dxa"/>
            <w:vAlign w:val="bottom"/>
            <w:gridSpan w:val="11"/>
            <w:vMerge w:val="restart"/>
          </w:tcPr>
          <w:p>
            <w:pPr>
              <w:spacing w:after="0"/>
              <w:rPr>
                <w:rFonts w:ascii="Arial" w:cs="Arial" w:eastAsia="Arial" w:hAnsi="Arial"/>
                <w:sz w:val="18"/>
                <w:szCs w:val="18"/>
                <w:color w:val="0563C1"/>
                <w:w w:val="90"/>
              </w:rPr>
            </w:pPr>
            <w:hyperlink w:anchor="page3">
              <w:r>
                <w:rPr>
                  <w:rFonts w:ascii="Arial" w:cs="Arial" w:eastAsia="Arial" w:hAnsi="Arial"/>
                  <w:sz w:val="18"/>
                  <w:szCs w:val="18"/>
                  <w:color w:val="0563C1"/>
                  <w:w w:val="90"/>
                </w:rPr>
                <w:t>Special Note Regarding Forward-Looking Statements</w:t>
              </w:r>
            </w:hyperlink>
          </w:p>
        </w:tc>
        <w:tc>
          <w:tcPr>
            <w:tcW w:w="5420" w:type="dxa"/>
            <w:vAlign w:val="bottom"/>
            <w:gridSpan w:val="9"/>
            <w:vMerge w:val="restart"/>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3"/>
                <w:szCs w:val="13"/>
                <w:color w:val="auto"/>
              </w:rPr>
            </w:pPr>
          </w:p>
        </w:tc>
        <w:tc>
          <w:tcPr>
            <w:tcW w:w="3880" w:type="dxa"/>
            <w:vAlign w:val="bottom"/>
            <w:tcBorders>
              <w:bottom w:val="single" w:sz="8" w:color="0563C1"/>
            </w:tcBorders>
            <w:gridSpan w:val="11"/>
            <w:vMerge w:val="continue"/>
          </w:tcPr>
          <w:p>
            <w:pPr>
              <w:spacing w:after="0"/>
              <w:rPr>
                <w:sz w:val="13"/>
                <w:szCs w:val="13"/>
                <w:color w:val="auto"/>
              </w:rPr>
            </w:pPr>
          </w:p>
        </w:tc>
        <w:tc>
          <w:tcPr>
            <w:tcW w:w="5420" w:type="dxa"/>
            <w:vAlign w:val="bottom"/>
            <w:gridSpan w:val="9"/>
            <w:vMerge w:val="continue"/>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358"/>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FINANCIAL INFORMATION</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563C1"/>
              </w:rPr>
            </w:pPr>
            <w:hyperlink w:anchor="page5">
              <w:r>
                <w:rPr>
                  <w:rFonts w:ascii="Arial" w:cs="Arial" w:eastAsia="Arial" w:hAnsi="Arial"/>
                  <w:sz w:val="18"/>
                  <w:szCs w:val="18"/>
                  <w:color w:val="0563C1"/>
                </w:rPr>
                <w:t>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60" w:type="dxa"/>
            <w:vAlign w:val="bottom"/>
            <w:tcBorders>
              <w:top w:val="single" w:sz="8" w:color="0563C1"/>
            </w:tcBorders>
            <w:gridSpan w:val="12"/>
          </w:tcPr>
          <w:p>
            <w:pPr>
              <w:spacing w:after="0" w:line="169" w:lineRule="exact"/>
              <w:rPr>
                <w:rFonts w:ascii="Arial" w:cs="Arial" w:eastAsia="Arial" w:hAnsi="Arial"/>
                <w:sz w:val="18"/>
                <w:szCs w:val="18"/>
                <w:color w:val="0563C1"/>
                <w:w w:val="98"/>
              </w:rPr>
            </w:pPr>
            <w:hyperlink w:anchor="page5">
              <w:r>
                <w:rPr>
                  <w:rFonts w:ascii="Arial" w:cs="Arial" w:eastAsia="Arial" w:hAnsi="Arial"/>
                  <w:sz w:val="18"/>
                  <w:szCs w:val="18"/>
                  <w:color w:val="0563C1"/>
                  <w:w w:val="98"/>
                </w:rPr>
                <w:t>Condensed Consolidated Balance Sheets (Unaudited)</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6440" w:type="dxa"/>
            <w:vAlign w:val="bottom"/>
            <w:tcBorders>
              <w:bottom w:val="single" w:sz="8" w:color="0563C1"/>
            </w:tcBorders>
            <w:gridSpan w:val="17"/>
          </w:tcPr>
          <w:p>
            <w:pPr>
              <w:spacing w:after="0" w:line="169" w:lineRule="exact"/>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Consolidated Statements of Operations and Comprehensive Loss (Unaudited)</w:t>
              </w:r>
            </w:hyperlink>
          </w:p>
        </w:tc>
        <w:tc>
          <w:tcPr>
            <w:tcW w:w="2860" w:type="dxa"/>
            <w:vAlign w:val="bottom"/>
            <w:gridSpan w:val="3"/>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300" w:type="dxa"/>
            <w:vAlign w:val="bottom"/>
            <w:gridSpan w:val="20"/>
          </w:tcPr>
          <w:p>
            <w:pPr>
              <w:spacing w:after="0" w:line="169" w:lineRule="exact"/>
              <w:rPr>
                <w:rFonts w:ascii="Arial" w:cs="Arial" w:eastAsia="Arial" w:hAnsi="Arial"/>
                <w:sz w:val="18"/>
                <w:szCs w:val="18"/>
                <w:color w:val="0563C1"/>
              </w:rPr>
            </w:pPr>
            <w:hyperlink w:anchor="page7">
              <w:r>
                <w:rPr>
                  <w:rFonts w:ascii="Arial" w:cs="Arial" w:eastAsia="Arial" w:hAnsi="Arial"/>
                  <w:sz w:val="18"/>
                  <w:szCs w:val="18"/>
                  <w:color w:val="0563C1"/>
                </w:rPr>
                <w:t>Condensed Statements of Redeemable Convertible Preferred Stock and Stockholders’ Equity (Deficit) (Unaudited)</w:t>
              </w:r>
            </w:hyperlink>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280" w:type="dxa"/>
            <w:vAlign w:val="bottom"/>
            <w:tcBorders>
              <w:top w:val="single" w:sz="8" w:color="0563C1"/>
            </w:tcBorders>
            <w:gridSpan w:val="19"/>
          </w:tcPr>
          <w:p>
            <w:pPr>
              <w:spacing w:after="0" w:line="169" w:lineRule="exact"/>
              <w:rPr>
                <w:rFonts w:ascii="Arial" w:cs="Arial" w:eastAsia="Arial" w:hAnsi="Arial"/>
                <w:sz w:val="18"/>
                <w:szCs w:val="18"/>
                <w:color w:val="0563C1"/>
              </w:rPr>
            </w:pPr>
            <w:hyperlink w:anchor="page8">
              <w:r>
                <w:rPr>
                  <w:rFonts w:ascii="Arial" w:cs="Arial" w:eastAsia="Arial" w:hAnsi="Arial"/>
                  <w:sz w:val="18"/>
                  <w:szCs w:val="18"/>
                  <w:color w:val="0563C1"/>
                </w:rPr>
                <w:t>Condensed Consolidated Statements of Cash Flows (Unaudited)</w:t>
              </w:r>
            </w:hyperlink>
          </w:p>
        </w:tc>
        <w:tc>
          <w:tcPr>
            <w:tcW w:w="1020" w:type="dxa"/>
            <w:vAlign w:val="bottom"/>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9300" w:type="dxa"/>
            <w:vAlign w:val="bottom"/>
            <w:gridSpan w:val="20"/>
          </w:tcPr>
          <w:p>
            <w:pPr>
              <w:spacing w:after="0" w:line="169" w:lineRule="exact"/>
              <w:rPr>
                <w:rFonts w:ascii="Arial" w:cs="Arial" w:eastAsia="Arial" w:hAnsi="Arial"/>
                <w:sz w:val="18"/>
                <w:szCs w:val="18"/>
                <w:color w:val="0563C1"/>
              </w:rPr>
            </w:pPr>
            <w:hyperlink w:anchor="page9">
              <w:r>
                <w:rPr>
                  <w:rFonts w:ascii="Arial" w:cs="Arial" w:eastAsia="Arial" w:hAnsi="Arial"/>
                  <w:sz w:val="18"/>
                  <w:szCs w:val="18"/>
                  <w:color w:val="0563C1"/>
                </w:rPr>
                <w:t>Notes to Condensed Consolidated Financial Statements (Unaudited)</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2.</w:t>
            </w:r>
          </w:p>
        </w:tc>
        <w:tc>
          <w:tcPr>
            <w:tcW w:w="4900" w:type="dxa"/>
            <w:vAlign w:val="bottom"/>
            <w:tcBorders>
              <w:top w:val="single" w:sz="8" w:color="0563C1"/>
            </w:tcBorders>
            <w:gridSpan w:val="16"/>
          </w:tcPr>
          <w:p>
            <w:pPr>
              <w:spacing w:after="0" w:line="169" w:lineRule="exact"/>
              <w:rPr>
                <w:rFonts w:ascii="Arial" w:cs="Arial" w:eastAsia="Arial" w:hAnsi="Arial"/>
                <w:sz w:val="18"/>
                <w:szCs w:val="18"/>
                <w:color w:val="0563C1"/>
                <w:w w:val="92"/>
              </w:rPr>
            </w:pPr>
            <w:hyperlink w:anchor="page21">
              <w:r>
                <w:rPr>
                  <w:rFonts w:ascii="Arial" w:cs="Arial" w:eastAsia="Arial" w:hAnsi="Arial"/>
                  <w:sz w:val="18"/>
                  <w:szCs w:val="18"/>
                  <w:color w:val="0563C1"/>
                  <w:w w:val="92"/>
                </w:rPr>
                <w:t>Management’s Discussion and Analysis of Financial Condition and</w:t>
              </w:r>
            </w:hyperlink>
          </w:p>
        </w:tc>
        <w:tc>
          <w:tcPr>
            <w:tcW w:w="4400" w:type="dxa"/>
            <w:vAlign w:val="bottom"/>
            <w:gridSpan w:val="4"/>
          </w:tcPr>
          <w:p>
            <w:pPr>
              <w:spacing w:after="0" w:line="169" w:lineRule="exact"/>
              <w:rPr>
                <w:rFonts w:ascii="Arial" w:cs="Arial" w:eastAsia="Arial" w:hAnsi="Arial"/>
                <w:sz w:val="18"/>
                <w:szCs w:val="18"/>
                <w:color w:val="0563C1"/>
              </w:rPr>
            </w:pPr>
            <w:hyperlink w:anchor="page21">
              <w:r>
                <w:rPr>
                  <w:rFonts w:ascii="Arial" w:cs="Arial" w:eastAsia="Arial" w:hAnsi="Arial"/>
                  <w:sz w:val="18"/>
                  <w:szCs w:val="18"/>
                  <w:color w:val="0563C1"/>
                </w:rPr>
                <w:t>Results of Operations</w:t>
              </w:r>
            </w:hyperlink>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Quantitative and Qualitative Disclosures About Market Risk</w:t>
              </w:r>
            </w:hyperlink>
          </w:p>
        </w:tc>
        <w:tc>
          <w:tcPr>
            <w:tcW w:w="2840" w:type="dxa"/>
            <w:vAlign w:val="bottom"/>
            <w:gridSpan w:val="2"/>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563C1"/>
            </w:tcBorders>
            <w:gridSpan w:val="14"/>
          </w:tcPr>
          <w:p>
            <w:pPr>
              <w:spacing w:after="0" w:line="169" w:lineRule="exact"/>
              <w:rPr>
                <w:rFonts w:ascii="Arial" w:cs="Arial" w:eastAsia="Arial" w:hAnsi="Arial"/>
                <w:sz w:val="18"/>
                <w:szCs w:val="18"/>
                <w:color w:val="0563C1"/>
              </w:rPr>
            </w:pPr>
            <w:hyperlink w:anchor="page29">
              <w:r>
                <w:rPr>
                  <w:rFonts w:ascii="Arial" w:cs="Arial" w:eastAsia="Arial" w:hAnsi="Arial"/>
                  <w:sz w:val="18"/>
                  <w:szCs w:val="18"/>
                  <w:color w:val="0563C1"/>
                </w:rPr>
                <w:t>Controls and Procedures</w:t>
              </w:r>
            </w:hyperlink>
          </w:p>
        </w:tc>
        <w:tc>
          <w:tcPr>
            <w:tcW w:w="4940" w:type="dxa"/>
            <w:vAlign w:val="bottom"/>
            <w:gridSpan w:val="6"/>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vMerge w:val="continue"/>
          </w:tcPr>
          <w:p>
            <w:pPr>
              <w:spacing w:after="0"/>
              <w:rPr>
                <w:sz w:val="24"/>
                <w:szCs w:val="24"/>
                <w:color w:val="auto"/>
              </w:rPr>
            </w:pPr>
          </w:p>
        </w:tc>
        <w:tc>
          <w:tcPr>
            <w:tcW w:w="1880" w:type="dxa"/>
            <w:vAlign w:val="bottom"/>
            <w:tcBorders>
              <w:bottom w:val="single" w:sz="8" w:color="0563C1"/>
            </w:tcBorders>
            <w:gridSpan w:val="7"/>
          </w:tcPr>
          <w:p>
            <w:pPr>
              <w:spacing w:after="0"/>
              <w:rPr>
                <w:rFonts w:ascii="Arial" w:cs="Arial" w:eastAsia="Arial" w:hAnsi="Arial"/>
                <w:sz w:val="18"/>
                <w:szCs w:val="18"/>
                <w:color w:val="0563C1"/>
                <w:w w:val="95"/>
              </w:rPr>
            </w:pPr>
            <w:hyperlink w:anchor="page30">
              <w:r>
                <w:rPr>
                  <w:rFonts w:ascii="Arial" w:cs="Arial" w:eastAsia="Arial" w:hAnsi="Arial"/>
                  <w:sz w:val="18"/>
                  <w:szCs w:val="18"/>
                  <w:color w:val="0563C1"/>
                  <w:w w:val="95"/>
                </w:rPr>
                <w:t>OTHER INFORMATION</w:t>
              </w:r>
            </w:hyperlink>
          </w:p>
        </w:tc>
        <w:tc>
          <w:tcPr>
            <w:tcW w:w="742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358"/>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rFonts w:ascii="Arial" w:cs="Arial" w:eastAsia="Arial" w:hAnsi="Arial"/>
                <w:sz w:val="18"/>
                <w:szCs w:val="18"/>
                <w:color w:val="0563C1"/>
              </w:rPr>
            </w:pPr>
            <w:hyperlink w:anchor="page30">
              <w:r>
                <w:rPr>
                  <w:rFonts w:ascii="Arial" w:cs="Arial" w:eastAsia="Arial" w:hAnsi="Arial"/>
                  <w:sz w:val="18"/>
                  <w:szCs w:val="18"/>
                  <w:color w:val="0563C1"/>
                </w:rPr>
                <w:t>Legal Proceedings</w:t>
              </w:r>
            </w:hyperlink>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563C1"/>
            </w:tcBorders>
            <w:gridSpan w:val="5"/>
          </w:tcPr>
          <w:p>
            <w:pPr>
              <w:spacing w:after="0" w:line="169" w:lineRule="exact"/>
              <w:rPr>
                <w:rFonts w:ascii="Arial" w:cs="Arial" w:eastAsia="Arial" w:hAnsi="Arial"/>
                <w:sz w:val="18"/>
                <w:szCs w:val="18"/>
                <w:color w:val="0563C1"/>
              </w:rPr>
            </w:pPr>
            <w:hyperlink w:anchor="page30">
              <w:r>
                <w:rPr>
                  <w:rFonts w:ascii="Arial" w:cs="Arial" w:eastAsia="Arial" w:hAnsi="Arial"/>
                  <w:sz w:val="18"/>
                  <w:szCs w:val="18"/>
                  <w:color w:val="0563C1"/>
                </w:rPr>
                <w:t>Risk Factors</w:t>
              </w:r>
            </w:hyperlink>
          </w:p>
        </w:tc>
        <w:tc>
          <w:tcPr>
            <w:tcW w:w="1000" w:type="dxa"/>
            <w:vAlign w:val="bottom"/>
            <w:gridSpan w:val="4"/>
          </w:tcPr>
          <w:p>
            <w:pPr>
              <w:spacing w:after="0"/>
              <w:rPr>
                <w:sz w:val="14"/>
                <w:szCs w:val="14"/>
                <w:color w:val="auto"/>
              </w:rPr>
            </w:pPr>
          </w:p>
        </w:tc>
        <w:tc>
          <w:tcPr>
            <w:tcW w:w="2020" w:type="dxa"/>
            <w:vAlign w:val="bottom"/>
            <w:gridSpan w:val="4"/>
          </w:tcPr>
          <w:p>
            <w:pPr>
              <w:spacing w:after="0"/>
              <w:rPr>
                <w:sz w:val="14"/>
                <w:szCs w:val="14"/>
                <w:color w:val="auto"/>
              </w:rPr>
            </w:pPr>
          </w:p>
        </w:tc>
        <w:tc>
          <w:tcPr>
            <w:tcW w:w="4960" w:type="dxa"/>
            <w:vAlign w:val="bottom"/>
            <w:gridSpan w:val="7"/>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563C1"/>
            </w:tcBorders>
            <w:gridSpan w:val="3"/>
          </w:tcPr>
          <w:p>
            <w:pPr>
              <w:spacing w:after="0" w:line="169" w:lineRule="exact"/>
              <w:rPr>
                <w:rFonts w:ascii="Arial" w:cs="Arial" w:eastAsia="Arial" w:hAnsi="Arial"/>
                <w:sz w:val="18"/>
                <w:szCs w:val="18"/>
                <w:color w:val="0563C1"/>
                <w:w w:val="85"/>
              </w:rPr>
            </w:pPr>
            <w:hyperlink w:anchor="page31">
              <w:r>
                <w:rPr>
                  <w:rFonts w:ascii="Arial" w:cs="Arial" w:eastAsia="Arial" w:hAnsi="Arial"/>
                  <w:sz w:val="18"/>
                  <w:szCs w:val="18"/>
                  <w:color w:val="0563C1"/>
                  <w:w w:val="85"/>
                </w:rPr>
                <w:t>Unregistered</w:t>
              </w:r>
            </w:hyperlink>
          </w:p>
        </w:tc>
        <w:tc>
          <w:tcPr>
            <w:tcW w:w="8400" w:type="dxa"/>
            <w:vAlign w:val="bottom"/>
            <w:gridSpan w:val="17"/>
          </w:tcPr>
          <w:p>
            <w:pPr>
              <w:ind w:left="60"/>
              <w:spacing w:after="0" w:line="169" w:lineRule="exact"/>
              <w:rPr>
                <w:rFonts w:ascii="Arial" w:cs="Arial" w:eastAsia="Arial" w:hAnsi="Arial"/>
                <w:sz w:val="18"/>
                <w:szCs w:val="18"/>
                <w:color w:val="0563C1"/>
              </w:rPr>
            </w:pPr>
            <w:hyperlink w:anchor="page31">
              <w:r>
                <w:rPr>
                  <w:rFonts w:ascii="Arial" w:cs="Arial" w:eastAsia="Arial" w:hAnsi="Arial"/>
                  <w:sz w:val="18"/>
                  <w:szCs w:val="18"/>
                  <w:color w:val="0563C1"/>
                </w:rPr>
                <w:t>Sales of Equity Securities and Use of Proceeds</w:t>
              </w:r>
            </w:hyperlink>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563C1"/>
            </w:tcBorders>
            <w:gridSpan w:val="13"/>
          </w:tcPr>
          <w:p>
            <w:pPr>
              <w:spacing w:after="0" w:line="169" w:lineRule="exact"/>
              <w:rPr>
                <w:rFonts w:ascii="Arial" w:cs="Arial" w:eastAsia="Arial" w:hAnsi="Arial"/>
                <w:sz w:val="18"/>
                <w:szCs w:val="18"/>
                <w:color w:val="0563C1"/>
              </w:rPr>
            </w:pPr>
            <w:hyperlink w:anchor="page31">
              <w:r>
                <w:rPr>
                  <w:rFonts w:ascii="Arial" w:cs="Arial" w:eastAsia="Arial" w:hAnsi="Arial"/>
                  <w:sz w:val="18"/>
                  <w:szCs w:val="18"/>
                  <w:color w:val="0563C1"/>
                </w:rPr>
                <w:t>Defaults Upon Senior Securities</w:t>
              </w:r>
            </w:hyperlink>
          </w:p>
        </w:tc>
        <w:tc>
          <w:tcPr>
            <w:tcW w:w="4960" w:type="dxa"/>
            <w:vAlign w:val="bottom"/>
            <w:gridSpan w:val="7"/>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563C1"/>
            </w:tcBorders>
            <w:gridSpan w:val="9"/>
          </w:tcPr>
          <w:p>
            <w:pPr>
              <w:spacing w:after="0" w:line="169" w:lineRule="exact"/>
              <w:rPr>
                <w:rFonts w:ascii="Arial" w:cs="Arial" w:eastAsia="Arial" w:hAnsi="Arial"/>
                <w:sz w:val="18"/>
                <w:szCs w:val="18"/>
                <w:color w:val="0563C1"/>
              </w:rPr>
            </w:pPr>
            <w:hyperlink w:anchor="page31">
              <w:r>
                <w:rPr>
                  <w:rFonts w:ascii="Arial" w:cs="Arial" w:eastAsia="Arial" w:hAnsi="Arial"/>
                  <w:sz w:val="18"/>
                  <w:szCs w:val="18"/>
                  <w:color w:val="0563C1"/>
                </w:rPr>
                <w:t>Mine Safety Disclosures</w:t>
              </w:r>
            </w:hyperlink>
          </w:p>
        </w:tc>
        <w:tc>
          <w:tcPr>
            <w:tcW w:w="6980" w:type="dxa"/>
            <w:vAlign w:val="bottom"/>
            <w:gridSpan w:val="11"/>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6"/>
          </w:tcPr>
          <w:p>
            <w:pPr>
              <w:spacing w:after="0" w:line="169" w:lineRule="exact"/>
              <w:rPr>
                <w:rFonts w:ascii="Arial" w:cs="Arial" w:eastAsia="Arial" w:hAnsi="Arial"/>
                <w:sz w:val="18"/>
                <w:szCs w:val="18"/>
                <w:color w:val="0563C1"/>
              </w:rPr>
            </w:pPr>
            <w:hyperlink w:anchor="page31">
              <w:r>
                <w:rPr>
                  <w:rFonts w:ascii="Arial" w:cs="Arial" w:eastAsia="Arial" w:hAnsi="Arial"/>
                  <w:sz w:val="18"/>
                  <w:szCs w:val="18"/>
                  <w:color w:val="0563C1"/>
                </w:rPr>
                <w:t>Other Information</w:t>
              </w:r>
            </w:hyperlink>
          </w:p>
        </w:tc>
        <w:tc>
          <w:tcPr>
            <w:tcW w:w="7540" w:type="dxa"/>
            <w:vAlign w:val="bottom"/>
            <w:gridSpan w:val="14"/>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563C1"/>
            </w:tcBorders>
            <w:gridSpan w:val="4"/>
          </w:tcPr>
          <w:p>
            <w:pPr>
              <w:spacing w:after="0" w:line="169" w:lineRule="exact"/>
              <w:rPr>
                <w:rFonts w:ascii="Arial" w:cs="Arial" w:eastAsia="Arial" w:hAnsi="Arial"/>
                <w:sz w:val="18"/>
                <w:szCs w:val="18"/>
                <w:color w:val="0563C1"/>
              </w:rPr>
            </w:pPr>
            <w:hyperlink w:anchor="page32">
              <w:r>
                <w:rPr>
                  <w:rFonts w:ascii="Arial" w:cs="Arial" w:eastAsia="Arial" w:hAnsi="Arial"/>
                  <w:sz w:val="18"/>
                  <w:szCs w:val="18"/>
                  <w:color w:val="0563C1"/>
                </w:rPr>
                <w:t>Exhibits</w:t>
              </w:r>
            </w:hyperlink>
          </w:p>
        </w:tc>
        <w:tc>
          <w:tcPr>
            <w:tcW w:w="8000" w:type="dxa"/>
            <w:vAlign w:val="bottom"/>
            <w:gridSpan w:val="16"/>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600" w:type="dxa"/>
            <w:vAlign w:val="bottom"/>
            <w:tcBorders>
              <w:top w:val="single" w:sz="8" w:color="0563C1"/>
              <w:bottom w:val="single" w:sz="8" w:color="0563C1"/>
            </w:tcBorders>
          </w:tcPr>
          <w:p>
            <w:pPr>
              <w:spacing w:after="0" w:line="169" w:lineRule="exact"/>
              <w:rPr>
                <w:rFonts w:ascii="Arial" w:cs="Arial" w:eastAsia="Arial" w:hAnsi="Arial"/>
                <w:sz w:val="17"/>
                <w:szCs w:val="17"/>
                <w:color w:val="0563C1"/>
                <w:w w:val="71"/>
              </w:rPr>
            </w:pPr>
            <w:hyperlink w:anchor="page33">
              <w:r>
                <w:rPr>
                  <w:rFonts w:ascii="Arial" w:cs="Arial" w:eastAsia="Arial" w:hAnsi="Arial"/>
                  <w:sz w:val="17"/>
                  <w:szCs w:val="17"/>
                  <w:color w:val="0563C1"/>
                  <w:w w:val="71"/>
                </w:rPr>
                <w:t>Signatures</w:t>
              </w:r>
            </w:hyperlink>
          </w:p>
        </w:tc>
        <w:tc>
          <w:tcPr>
            <w:tcW w:w="160" w:type="dxa"/>
            <w:vAlign w:val="bottom"/>
            <w:tcBorders>
              <w:bottom w:val="single" w:sz="8" w:color="0563C1"/>
            </w:tcBorders>
          </w:tcPr>
          <w:p>
            <w:pPr>
              <w:spacing w:after="0"/>
              <w:rPr>
                <w:sz w:val="14"/>
                <w:szCs w:val="14"/>
                <w:color w:val="auto"/>
              </w:rPr>
            </w:pPr>
          </w:p>
        </w:tc>
        <w:tc>
          <w:tcPr>
            <w:tcW w:w="8540" w:type="dxa"/>
            <w:vAlign w:val="bottom"/>
            <w:gridSpan w:val="18"/>
          </w:tcPr>
          <w:p>
            <w:pPr>
              <w:spacing w:after="0"/>
              <w:rPr>
                <w:sz w:val="14"/>
                <w:szCs w:val="14"/>
                <w:color w:val="auto"/>
              </w:rPr>
            </w:pP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4620" w:type="dxa"/>
            <w:vAlign w:val="bottom"/>
            <w:gridSpan w:val="15"/>
          </w:tcPr>
          <w:p>
            <w:pPr>
              <w:ind w:left="44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“Sight Sciences,” “we,” “us” and “our” refer to Sight Sciences, Inc.</w:t>
      </w:r>
    </w:p>
    <w:p>
      <w:pPr>
        <w:spacing w:after="0" w:line="6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83"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total addressable market, future revenue, expenses, capital requirements, and our needs for additional financing;</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compete in new markets;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our customers’ and suppliers’ businesses and the general economy;</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and grow our business by expanding our sales to existing customers or introducing our products to new customers;</w:t>
      </w:r>
    </w:p>
    <w:p>
      <w:pPr>
        <w:spacing w:after="0" w:line="115"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sufficient reimbursement for our products;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abilities to protect and scale our intellectual property portfolio;</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380" w:right="80" w:hanging="372"/>
        <w:spacing w:after="0" w:line="261"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 and</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12"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in our Annual Report on Form 10-K for the year ended December 31, 2021 filed with the Securities and Exchange Commission (the "SEC") on March 24, 2022 (the "2021 Form 10-K")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right="80"/>
        <w:spacing w:after="0" w:line="261" w:lineRule="auto"/>
        <w:rPr>
          <w:sz w:val="20"/>
          <w:szCs w:val="20"/>
          <w:color w:val="auto"/>
        </w:rPr>
      </w:pPr>
      <w:r>
        <w:rPr>
          <w:rFonts w:ascii="Arial" w:cs="Arial" w:eastAsia="Arial" w:hAnsi="Arial"/>
          <w:sz w:val="18"/>
          <w:szCs w:val="18"/>
          <w:color w:val="auto"/>
        </w:rPr>
        <w:t>in the forward-looking statements may not be achieved or occur, and actual results, events or circumstances could differ materially from those described in the forward-looking statements.</w:t>
      </w:r>
    </w:p>
    <w:p>
      <w:pPr>
        <w:spacing w:after="0" w:line="17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forward-looking statements in this Quarterly Report on Form 10-Q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5"/>
        </w:trPr>
        <w:tc>
          <w:tcPr>
            <w:tcW w:w="7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238,586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260,687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9,949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Inventory, net</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2,693</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255,310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277,035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1,714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258,590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280,186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9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3,074</w:t>
            </w:r>
          </w:p>
        </w:tc>
        <w:tc>
          <w:tcPr>
            <w:tcW w:w="2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5,067</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12,000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32,817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1,862</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46,679</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7"/>
              </w:rPr>
              <w:t>Convertible preferred stock par value of $0.001 per share; 10,000,000 shares authorized; no shares</w:t>
            </w:r>
          </w:p>
        </w:tc>
        <w:tc>
          <w:tcPr>
            <w:tcW w:w="280" w:type="dxa"/>
            <w:vAlign w:val="bottom"/>
            <w:shd w:val="clear" w:color="auto" w:fill="CFF0FC"/>
          </w:tcPr>
          <w:p>
            <w:pPr>
              <w:spacing w:after="0"/>
              <w:rPr>
                <w:sz w:val="14"/>
                <w:szCs w:val="14"/>
                <w:color w:val="auto"/>
              </w:rPr>
            </w:pPr>
          </w:p>
        </w:tc>
        <w:tc>
          <w:tcPr>
            <w:tcW w:w="15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issued and outstanding as of March 31, 2022 and December 31, 2021, respectively</w:t>
            </w:r>
          </w:p>
        </w:tc>
        <w:tc>
          <w:tcPr>
            <w:tcW w:w="28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7"/>
              </w:rPr>
              <w:t>Preferred stock par value of $0.001 per share; 10,000,000 shares authorized; no shares issued and</w:t>
            </w:r>
          </w:p>
        </w:tc>
        <w:tc>
          <w:tcPr>
            <w:tcW w:w="280" w:type="dxa"/>
            <w:vAlign w:val="bottom"/>
            <w:shd w:val="clear" w:color="auto" w:fill="CFF0FC"/>
          </w:tcPr>
          <w:p>
            <w:pPr>
              <w:spacing w:after="0"/>
              <w:rPr>
                <w:sz w:val="14"/>
                <w:szCs w:val="14"/>
                <w:color w:val="auto"/>
              </w:rPr>
            </w:pPr>
          </w:p>
        </w:tc>
        <w:tc>
          <w:tcPr>
            <w:tcW w:w="15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28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0"/>
              <w:spacing w:after="0" w:line="162" w:lineRule="exact"/>
              <w:rPr>
                <w:sz w:val="20"/>
                <w:szCs w:val="20"/>
                <w:color w:val="auto"/>
              </w:rPr>
            </w:pPr>
            <w:r>
              <w:rPr>
                <w:rFonts w:ascii="Arial" w:cs="Arial" w:eastAsia="Arial" w:hAnsi="Arial"/>
                <w:sz w:val="18"/>
                <w:szCs w:val="18"/>
                <w:color w:val="auto"/>
                <w:w w:val="93"/>
              </w:rPr>
              <w:t>Common stock par value of $0.001 per share; 200,000,000 shares authorized as of March 31, 2022 and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40" w:type="dxa"/>
            <w:vAlign w:val="bottom"/>
          </w:tcPr>
          <w:p>
            <w:pPr>
              <w:ind w:left="200"/>
              <w:spacing w:after="0" w:line="176" w:lineRule="exact"/>
              <w:rPr>
                <w:sz w:val="20"/>
                <w:szCs w:val="20"/>
                <w:color w:val="auto"/>
              </w:rPr>
            </w:pPr>
            <w:r>
              <w:rPr>
                <w:rFonts w:ascii="Arial" w:cs="Arial" w:eastAsia="Arial" w:hAnsi="Arial"/>
                <w:sz w:val="18"/>
                <w:szCs w:val="18"/>
                <w:color w:val="auto"/>
                <w:w w:val="91"/>
              </w:rPr>
              <w:t>December 31, 2021, respectively; 47,590,348 and 47,504,704 shares issued and outstanding as of March</w:t>
            </w: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8"/>
                <w:szCs w:val="18"/>
                <w:color w:val="auto"/>
              </w:rPr>
              <w:t>31, 2022 and December 31, 2021, respectively</w:t>
            </w:r>
          </w:p>
        </w:tc>
        <w:tc>
          <w:tcPr>
            <w:tcW w:w="2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388,127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385,060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7"/>
                <w:szCs w:val="17"/>
                <w:color w:val="auto"/>
              </w:rPr>
            </w:pP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(176,264 )</w:t>
            </w:r>
          </w:p>
        </w:tc>
        <w:tc>
          <w:tcPr>
            <w:tcW w:w="20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(153,001 )</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 (deficit)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211,911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232,107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258,590</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-2982595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-2965450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-2982595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-1916430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-1916430</wp:posOffset>
            </wp:positionV>
            <wp:extent cx="596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-159385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14,881</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8,635</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3,033</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11,848</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6,334</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5,646</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3,440</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28,395</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14,550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34,041</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17,990</w:t>
            </w:r>
          </w:p>
        </w:tc>
        <w:tc>
          <w:tcPr>
            <w:tcW w:w="2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7"/>
                <w:szCs w:val="17"/>
                <w:color w:val="auto"/>
              </w:rPr>
            </w:pPr>
          </w:p>
        </w:tc>
        <w:tc>
          <w:tcPr>
            <w:tcW w:w="156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(22,193 )</w:t>
            </w:r>
          </w:p>
        </w:tc>
        <w:tc>
          <w:tcPr>
            <w:tcW w:w="600" w:type="dxa"/>
            <w:vAlign w:val="bottom"/>
          </w:tcPr>
          <w:p>
            <w:pPr>
              <w:spacing w:after="0"/>
              <w:rPr>
                <w:sz w:val="17"/>
                <w:szCs w:val="17"/>
                <w:color w:val="auto"/>
              </w:rPr>
            </w:pP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(11,656 )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4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(1,046 )</w:t>
            </w:r>
          </w:p>
        </w:tc>
        <w:tc>
          <w:tcPr>
            <w:tcW w:w="6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(1,084 )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400" w:type="dxa"/>
            <w:vAlign w:val="bottom"/>
          </w:tcPr>
          <w:p>
            <w:pPr>
              <w:spacing w:after="0"/>
              <w:rPr>
                <w:sz w:val="17"/>
                <w:szCs w:val="17"/>
                <w:color w:val="auto"/>
              </w:rPr>
            </w:pPr>
          </w:p>
        </w:tc>
        <w:tc>
          <w:tcPr>
            <w:tcW w:w="156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(15 )</w:t>
            </w:r>
          </w:p>
        </w:tc>
        <w:tc>
          <w:tcPr>
            <w:tcW w:w="6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(23,254</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(12,188</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(23,263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6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(12,240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1"/>
              <w:spacing w:after="0" w:line="196" w:lineRule="exact"/>
              <w:rPr>
                <w:sz w:val="20"/>
                <w:szCs w:val="20"/>
                <w:color w:val="auto"/>
              </w:rPr>
            </w:pPr>
            <w:r>
              <w:rPr>
                <w:rFonts w:ascii="Arial" w:cs="Arial" w:eastAsia="Arial" w:hAnsi="Arial"/>
                <w:sz w:val="18"/>
                <w:szCs w:val="18"/>
                <w:color w:val="auto"/>
              </w:rPr>
              <w:t>(0.49 )</w:t>
            </w:r>
          </w:p>
        </w:tc>
        <w:tc>
          <w:tcPr>
            <w:tcW w:w="600" w:type="dxa"/>
            <w:vAlign w:val="bottom"/>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156"/>
        </w:trPr>
        <w:tc>
          <w:tcPr>
            <w:tcW w:w="73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40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47,569,499</w:t>
            </w:r>
          </w:p>
        </w:tc>
        <w:tc>
          <w:tcPr>
            <w:tcW w:w="260" w:type="dxa"/>
            <w:vAlign w:val="bottom"/>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9,517,270</w:t>
            </w:r>
          </w:p>
        </w:tc>
        <w:tc>
          <w:tcPr>
            <w:tcW w:w="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3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stockholders, basic and diluted</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-1179195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-1179195</wp:posOffset>
            </wp:positionV>
            <wp:extent cx="6032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-382270</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-382270</wp:posOffset>
            </wp:positionV>
            <wp:extent cx="603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160" w:type="dxa"/>
            <w:vAlign w:val="bottom"/>
            <w:gridSpan w:val="4"/>
          </w:tcPr>
          <w:p>
            <w:pPr>
              <w:ind w:left="320"/>
              <w:spacing w:after="0"/>
              <w:rPr>
                <w:sz w:val="20"/>
                <w:szCs w:val="20"/>
                <w:color w:val="auto"/>
              </w:rPr>
            </w:pPr>
            <w:r>
              <w:rPr>
                <w:rFonts w:ascii="Arial" w:cs="Arial" w:eastAsia="Arial" w:hAnsi="Arial"/>
                <w:sz w:val="14"/>
                <w:szCs w:val="14"/>
                <w:b w:val="1"/>
                <w:bCs w:val="1"/>
                <w:color w:val="auto"/>
              </w:rPr>
              <w:t>Redeemable Convertible</w:t>
            </w:r>
          </w:p>
        </w:tc>
        <w:tc>
          <w:tcPr>
            <w:tcW w:w="220" w:type="dxa"/>
            <w:vAlign w:val="bottom"/>
          </w:tcPr>
          <w:p>
            <w:pPr>
              <w:spacing w:after="0"/>
              <w:rPr>
                <w:sz w:val="14"/>
                <w:szCs w:val="14"/>
                <w:color w:val="auto"/>
              </w:rPr>
            </w:pPr>
          </w:p>
        </w:tc>
        <w:tc>
          <w:tcPr>
            <w:tcW w:w="2060" w:type="dxa"/>
            <w:vAlign w:val="bottom"/>
            <w:gridSpan w:val="4"/>
            <w:vMerge w:val="restart"/>
          </w:tcPr>
          <w:p>
            <w:pPr>
              <w:jc w:val="right"/>
              <w:ind w:right="473"/>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0"/>
              </w:rPr>
              <w:t>Accumulate</w:t>
            </w:r>
          </w:p>
        </w:tc>
        <w:tc>
          <w:tcPr>
            <w:tcW w:w="200" w:type="dxa"/>
            <w:vAlign w:val="bottom"/>
          </w:tcPr>
          <w:p>
            <w:pPr>
              <w:spacing w:after="0"/>
              <w:rPr>
                <w:sz w:val="14"/>
                <w:szCs w:val="14"/>
                <w:color w:val="auto"/>
              </w:rPr>
            </w:pPr>
          </w:p>
        </w:tc>
        <w:tc>
          <w:tcPr>
            <w:tcW w:w="90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2"/>
              </w:rPr>
              <w:t>d</w:t>
            </w:r>
          </w:p>
        </w:tc>
        <w:tc>
          <w:tcPr>
            <w:tcW w:w="110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40" w:type="dxa"/>
            <w:vAlign w:val="bottom"/>
          </w:tcPr>
          <w:p>
            <w:pPr>
              <w:jc w:val="right"/>
              <w:ind w:right="23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Deficit</w:t>
            </w:r>
          </w:p>
        </w:tc>
        <w:tc>
          <w:tcPr>
            <w:tcW w:w="110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96"/>
              </w:rPr>
              <w:t>Equity (deficit)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47,504,704</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385,060</w:t>
            </w:r>
          </w:p>
        </w:tc>
        <w:tc>
          <w:tcPr>
            <w:tcW w:w="18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 (153,001</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232,107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line="162" w:lineRule="exact"/>
              <w:rPr>
                <w:sz w:val="20"/>
                <w:szCs w:val="20"/>
                <w:color w:val="auto"/>
              </w:rPr>
            </w:pPr>
            <w:r>
              <w:rPr>
                <w:rFonts w:ascii="Arial" w:cs="Arial" w:eastAsia="Arial" w:hAnsi="Arial"/>
                <w:sz w:val="18"/>
                <w:szCs w:val="18"/>
                <w:color w:val="auto"/>
                <w:w w:val="97"/>
              </w:rPr>
              <w:t>Issuance of common stock upon exercise of</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85,644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2,974</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(23,263 )</w:t>
            </w:r>
          </w:p>
        </w:tc>
        <w:tc>
          <w:tcPr>
            <w:tcW w:w="2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(23,263 )</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March 31, 2022</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47,590,348</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388,127</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(176,264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211,911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460" w:type="dxa"/>
            <w:vAlign w:val="bottom"/>
          </w:tcPr>
          <w:p>
            <w:pPr>
              <w:spacing w:after="0"/>
              <w:rPr>
                <w:sz w:val="24"/>
                <w:szCs w:val="24"/>
                <w:color w:val="auto"/>
              </w:rPr>
            </w:pPr>
          </w:p>
        </w:tc>
        <w:tc>
          <w:tcPr>
            <w:tcW w:w="2160" w:type="dxa"/>
            <w:vAlign w:val="bottom"/>
            <w:gridSpan w:val="4"/>
          </w:tcPr>
          <w:p>
            <w:pPr>
              <w:ind w:left="320"/>
              <w:spacing w:after="0"/>
              <w:rPr>
                <w:sz w:val="20"/>
                <w:szCs w:val="20"/>
                <w:color w:val="auto"/>
              </w:rPr>
            </w:pPr>
            <w:r>
              <w:rPr>
                <w:rFonts w:ascii="Arial" w:cs="Arial" w:eastAsia="Arial" w:hAnsi="Arial"/>
                <w:sz w:val="14"/>
                <w:szCs w:val="14"/>
                <w:b w:val="1"/>
                <w:bCs w:val="1"/>
                <w:color w:val="auto"/>
              </w:rPr>
              <w:t>Redeemable Convertible</w:t>
            </w:r>
          </w:p>
        </w:tc>
        <w:tc>
          <w:tcPr>
            <w:tcW w:w="220" w:type="dxa"/>
            <w:vAlign w:val="bottom"/>
          </w:tcPr>
          <w:p>
            <w:pPr>
              <w:spacing w:after="0"/>
              <w:rPr>
                <w:sz w:val="24"/>
                <w:szCs w:val="24"/>
                <w:color w:val="auto"/>
              </w:rPr>
            </w:pPr>
          </w:p>
        </w:tc>
        <w:tc>
          <w:tcPr>
            <w:tcW w:w="2060" w:type="dxa"/>
            <w:vAlign w:val="bottom"/>
            <w:gridSpan w:val="4"/>
            <w:vMerge w:val="restart"/>
          </w:tcPr>
          <w:p>
            <w:pPr>
              <w:jc w:val="right"/>
              <w:ind w:right="473"/>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24"/>
                <w:szCs w:val="24"/>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0"/>
              </w:rPr>
              <w:t>Accumulate</w:t>
            </w:r>
          </w:p>
        </w:tc>
        <w:tc>
          <w:tcPr>
            <w:tcW w:w="200" w:type="dxa"/>
            <w:vAlign w:val="bottom"/>
          </w:tcPr>
          <w:p>
            <w:pPr>
              <w:spacing w:after="0"/>
              <w:rPr>
                <w:sz w:val="24"/>
                <w:szCs w:val="24"/>
                <w:color w:val="auto"/>
              </w:rPr>
            </w:pPr>
          </w:p>
        </w:tc>
        <w:tc>
          <w:tcPr>
            <w:tcW w:w="90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2"/>
              </w:rPr>
              <w:t>d</w:t>
            </w:r>
          </w:p>
        </w:tc>
        <w:tc>
          <w:tcPr>
            <w:tcW w:w="1100" w:type="dxa"/>
            <w:vAlign w:val="bottom"/>
            <w:gridSpan w:val="3"/>
          </w:tcPr>
          <w:p>
            <w:pPr>
              <w:jc w:val="center"/>
              <w:ind w:right="1"/>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40" w:type="dxa"/>
            <w:vAlign w:val="bottom"/>
          </w:tcPr>
          <w:p>
            <w:pPr>
              <w:jc w:val="right"/>
              <w:ind w:right="23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4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90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12,767,202</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117,331</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9,509,182</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1,183</w:t>
            </w:r>
          </w:p>
        </w:tc>
        <w:tc>
          <w:tcPr>
            <w:tcW w:w="18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  (90,041</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(88,849</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3460" w:type="dxa"/>
            <w:vAlign w:val="bottom"/>
          </w:tcPr>
          <w:p>
            <w:pPr>
              <w:ind w:left="20"/>
              <w:spacing w:after="0" w:line="162" w:lineRule="exact"/>
              <w:rPr>
                <w:sz w:val="20"/>
                <w:szCs w:val="20"/>
                <w:color w:val="auto"/>
              </w:rPr>
            </w:pPr>
            <w:r>
              <w:rPr>
                <w:rFonts w:ascii="Arial" w:cs="Arial" w:eastAsia="Arial" w:hAnsi="Arial"/>
                <w:sz w:val="18"/>
                <w:szCs w:val="18"/>
                <w:color w:val="auto"/>
                <w:w w:val="97"/>
              </w:rPr>
              <w:t>Issuance of common stock upon exercise of</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16,862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(12,240 )</w:t>
            </w:r>
          </w:p>
        </w:tc>
        <w:tc>
          <w:tcPr>
            <w:tcW w:w="2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(12,240 )</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March 31, 2021</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12,767,202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117,331</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9,526,044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1,471</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(102,281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(100,801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-1353820</wp:posOffset>
            </wp:positionV>
            <wp:extent cx="43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-1336675</wp:posOffset>
            </wp:positionV>
            <wp:extent cx="43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-1353820</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-1336675</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-1353820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-1336675</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-1353820</wp:posOffset>
            </wp:positionV>
            <wp:extent cx="34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-1336675</wp:posOffset>
            </wp:positionV>
            <wp:extent cx="3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-1353820</wp:posOffset>
            </wp:positionV>
            <wp:extent cx="34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-1336675</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-1353820</wp:posOffset>
            </wp:positionV>
            <wp:extent cx="431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-1336675</wp:posOffset>
            </wp:positionV>
            <wp:extent cx="43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-1353820</wp:posOffset>
            </wp:positionV>
            <wp:extent cx="4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-1336675</wp:posOffset>
            </wp:positionV>
            <wp:extent cx="43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43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43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43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43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160" w:type="dxa"/>
            <w:vAlign w:val="bottom"/>
          </w:tcPr>
          <w:p>
            <w:pPr>
              <w:jc w:val="right"/>
              <w:ind w:right="953"/>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(23,263 )</w:t>
            </w: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(12,240 )</w:t>
            </w: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Accretion of debt discount and amortization of debt issuance costs</w:t>
            </w: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2,974</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doubtful accounts receivable</w:t>
            </w:r>
          </w:p>
        </w:tc>
        <w:tc>
          <w:tcPr>
            <w:tcW w:w="1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(60 )</w:t>
            </w: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Provision for excess and obsolete inventories</w:t>
            </w:r>
          </w:p>
        </w:tc>
        <w:tc>
          <w:tcPr>
            <w:tcW w:w="1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operating lease expense</w:t>
            </w: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warrant</w:t>
            </w:r>
          </w:p>
        </w:tc>
        <w:tc>
          <w:tcPr>
            <w:tcW w:w="1160" w:type="dxa"/>
            <w:vAlign w:val="bottom"/>
          </w:tcPr>
          <w:p>
            <w:pPr>
              <w:spacing w:after="0"/>
              <w:rPr>
                <w:sz w:val="17"/>
                <w:szCs w:val="17"/>
                <w:color w:val="auto"/>
              </w:rPr>
            </w:pPr>
          </w:p>
        </w:tc>
        <w:tc>
          <w:tcPr>
            <w:tcW w:w="9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(555 )</w:t>
            </w: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(1,180 )</w:t>
            </w:r>
          </w:p>
        </w:tc>
        <w:tc>
          <w:tcPr>
            <w:tcW w:w="6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(301 )</w:t>
            </w: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Inventory</w:t>
            </w:r>
          </w:p>
        </w:tc>
        <w:tc>
          <w:tcPr>
            <w:tcW w:w="1160" w:type="dxa"/>
            <w:vAlign w:val="bottom"/>
          </w:tcPr>
          <w:p>
            <w:pPr>
              <w:spacing w:after="0"/>
              <w:rPr>
                <w:sz w:val="17"/>
                <w:szCs w:val="17"/>
                <w:color w:val="auto"/>
              </w:rPr>
            </w:pPr>
          </w:p>
        </w:tc>
        <w:tc>
          <w:tcPr>
            <w:tcW w:w="9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(615 )</w:t>
            </w:r>
          </w:p>
        </w:tc>
        <w:tc>
          <w:tcPr>
            <w:tcW w:w="6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(146 )</w:t>
            </w:r>
          </w:p>
        </w:tc>
      </w:tr>
      <w:tr>
        <w:trPr>
          <w:trHeight w:val="202"/>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1,472</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(1,024 )</w:t>
            </w: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(248 )</w:t>
            </w: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1,071</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1160" w:type="dxa"/>
            <w:vAlign w:val="bottom"/>
          </w:tcPr>
          <w:p>
            <w:pPr>
              <w:spacing w:after="0"/>
              <w:rPr>
                <w:sz w:val="17"/>
                <w:szCs w:val="17"/>
                <w:color w:val="auto"/>
              </w:rPr>
            </w:pPr>
          </w:p>
        </w:tc>
        <w:tc>
          <w:tcPr>
            <w:tcW w:w="9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(2,129 )</w:t>
            </w:r>
          </w:p>
        </w:tc>
        <w:tc>
          <w:tcPr>
            <w:tcW w:w="6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(1,845 )</w:t>
            </w:r>
          </w:p>
        </w:tc>
      </w:tr>
      <w:tr>
        <w:trPr>
          <w:trHeight w:val="203"/>
        </w:trPr>
        <w:tc>
          <w:tcPr>
            <w:tcW w:w="7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liabilities</w:t>
            </w:r>
          </w:p>
        </w:tc>
        <w:tc>
          <w:tcPr>
            <w:tcW w:w="1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r>
      <w:tr>
        <w:trPr>
          <w:trHeight w:val="196"/>
        </w:trPr>
        <w:tc>
          <w:tcPr>
            <w:tcW w:w="71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Net cash used in operating activities</w:t>
            </w:r>
          </w:p>
        </w:tc>
        <w:tc>
          <w:tcPr>
            <w:tcW w:w="1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(21,966</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(12,870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1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property and equipment</w:t>
            </w:r>
          </w:p>
        </w:tc>
        <w:tc>
          <w:tcPr>
            <w:tcW w:w="1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(227 )</w:t>
            </w:r>
          </w:p>
        </w:tc>
        <w:tc>
          <w:tcPr>
            <w:tcW w:w="6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(104 )</w:t>
            </w:r>
          </w:p>
        </w:tc>
      </w:tr>
      <w:tr>
        <w:trPr>
          <w:trHeight w:val="20"/>
        </w:trPr>
        <w:tc>
          <w:tcPr>
            <w:tcW w:w="71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18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Pr>
          <w:p>
            <w:pPr>
              <w:spacing w:after="0"/>
              <w:rPr>
                <w:sz w:val="17"/>
                <w:szCs w:val="17"/>
                <w:color w:val="auto"/>
              </w:rPr>
            </w:pPr>
          </w:p>
        </w:tc>
        <w:tc>
          <w:tcPr>
            <w:tcW w:w="9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(227 )</w:t>
            </w:r>
          </w:p>
        </w:tc>
        <w:tc>
          <w:tcPr>
            <w:tcW w:w="64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(104 )</w:t>
            </w: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Payments of costs related to initial public offering</w:t>
            </w:r>
          </w:p>
        </w:tc>
        <w:tc>
          <w:tcPr>
            <w:tcW w:w="1160" w:type="dxa"/>
            <w:vAlign w:val="bottom"/>
          </w:tcPr>
          <w:p>
            <w:pPr>
              <w:spacing w:after="0"/>
              <w:rPr>
                <w:sz w:val="17"/>
                <w:szCs w:val="17"/>
                <w:color w:val="auto"/>
              </w:rPr>
            </w:pPr>
          </w:p>
        </w:tc>
        <w:tc>
          <w:tcPr>
            <w:tcW w:w="98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(223 )</w:t>
            </w:r>
          </w:p>
        </w:tc>
      </w:tr>
      <w:tr>
        <w:trPr>
          <w:trHeight w:val="203"/>
        </w:trPr>
        <w:tc>
          <w:tcPr>
            <w:tcW w:w="7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exercise of common stock options</w:t>
            </w:r>
          </w:p>
        </w:tc>
        <w:tc>
          <w:tcPr>
            <w:tcW w:w="1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(210 )</w:t>
            </w: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1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(22,101</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260,687</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61,511</w:t>
            </w:r>
          </w:p>
        </w:tc>
        <w:tc>
          <w:tcPr>
            <w:tcW w:w="100" w:type="dxa"/>
            <w:vAlign w:val="bottom"/>
          </w:tcPr>
          <w:p>
            <w:pPr>
              <w:spacing w:after="0"/>
              <w:rPr>
                <w:sz w:val="17"/>
                <w:szCs w:val="17"/>
                <w:color w:val="auto"/>
              </w:rPr>
            </w:pPr>
          </w:p>
        </w:tc>
      </w:tr>
      <w:tr>
        <w:trPr>
          <w:trHeight w:val="236"/>
        </w:trPr>
        <w:tc>
          <w:tcPr>
            <w:tcW w:w="7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1160" w:type="dxa"/>
            <w:vAlign w:val="bottom"/>
            <w:tcBorders>
              <w:bottom w:val="single" w:sz="8" w:color="auto"/>
            </w:tcBorders>
            <w:shd w:val="clear" w:color="auto" w:fill="CFF0FC"/>
          </w:tcPr>
          <w:p>
            <w:pPr>
              <w:jc w:val="right"/>
              <w:ind w:right="953"/>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238,586</w:t>
            </w:r>
          </w:p>
        </w:tc>
        <w:tc>
          <w:tcPr>
            <w:tcW w:w="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48,327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5"/>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interest</w:t>
            </w:r>
          </w:p>
        </w:tc>
        <w:tc>
          <w:tcPr>
            <w:tcW w:w="1160" w:type="dxa"/>
            <w:vAlign w:val="bottom"/>
            <w:shd w:val="clear" w:color="auto" w:fill="CFF0FC"/>
          </w:tcPr>
          <w:p>
            <w:pPr>
              <w:jc w:val="right"/>
              <w:ind w:right="953"/>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766</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766</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noncash disclosure</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Acquisition of property and equipment included in accounts payable and accrued liabilities</w:t>
            </w:r>
          </w:p>
        </w:tc>
        <w:tc>
          <w:tcPr>
            <w:tcW w:w="1160" w:type="dxa"/>
            <w:vAlign w:val="bottom"/>
            <w:shd w:val="clear" w:color="auto" w:fill="CFF0FC"/>
          </w:tcPr>
          <w:p>
            <w:pPr>
              <w:jc w:val="right"/>
              <w:ind w:right="953"/>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418</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7"/>
                <w:szCs w:val="17"/>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Unpaid initial public offering costs in accounts payable and accrued liabilities</w:t>
            </w: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-2148840</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-2148840</wp:posOffset>
            </wp:positionV>
            <wp:extent cx="596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-1882775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-1882775</wp:posOffset>
            </wp:positionV>
            <wp:extent cx="5969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-1351280</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-1351280</wp:posOffset>
            </wp:positionV>
            <wp:extent cx="5969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-814070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-796925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-814070</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-796925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SIGHT SCIENCES,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Company and Nature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1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Sight Sciences, Inc. (the “Company”) was incorporated in the State of Delaware in 2010. The Company is located and headquartered in Menlo Park, California and has principal commercial offices in Southlake, Texas. The Company is an ophthalmic medical device company focused on the development and commercialization of surgical and nonsurgical technologies for the treatment of prevalent eye diseases. The Company’s Surgical Glaucoma segment's product portfolio features the OMNI® Surgical System ("OMNI"), a device that facilitates the performance of both canaloplasty and trabeculotomy with a single device and single corneal incision to reduce intraocular pressure in adult patients with primary open-angle glaucoma. The Company’s Dry Eye segment's product portfolio consists of the TearCare® System ("TearCare") for ophthalmologists and optometrists. TearCare is a wearable eyelid technology that delivers highly targeted and adjustable heat to the meibomian glands of the eyelids in adult patients with evaporative dry eye disease due to meibomian gland disfunction.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In July 2021 the Company effected a 2-for-1 stock split of its issued and outstanding shares of common stock and a proportional adjustment to the existing conversion ratios for each series of the Company’s redeemable convertible preferred stock. Accordingly, all share and per share amounts for all periods presented in the accompanying condensed consolidated financial statements and notes thereto have been adjusted retroactively, where applicable, to reflect this stock split and adjustment of the redeemable convertible preferred stock conversion ratios.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July 2021, the Company closed its initial public offering (“IPO”) of its common stock in which the Company issued and sold 10,000,000 shares of its common stock, and sold an additional 1,500,000 shares of common stock upon the full exercise of the underwriters’ option to purchase additional shares of the Company's common stock. These sales occurred at the initial public offering price of $24.00 per share. The Company received net proceeds of approximately $252.2 million from the IPO, after deducting underwriting discounts and commissions of $19.3 million and offering costs of $4.5 million.</w:t>
      </w:r>
    </w:p>
    <w:p>
      <w:pPr>
        <w:spacing w:after="0" w:line="155"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Immediately prior to the closing of the IPO, all then-outstanding shares of redeemable convertible preferred stock were converted into 25,534,404 shares of common stock. Further, all outstanding redeemable convertible preferred stock warrants were converted into warrants to purchase 659,028 shares of common stock, which resulted in the reclassification of the convertible preferred stock warrant liability to additional paid-in capital.</w:t>
      </w:r>
    </w:p>
    <w:p>
      <w:pPr>
        <w:spacing w:after="0" w:line="147"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Significant Risks and Uncertainties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Since inception, the Company has incurred losses and negative cash flows from operations. As of March 31, 2022, the Company had an accumulated deficit of $176.3 million and recorded a net loss of $23.3 million for the three months then ended and expects to incur future additional losses. If the Company’s revenue levels from its products are not sufficient or if the Company is unable to secure additional funding when desired, the Company may need to delay the development of its products and scale back its business and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 w:name="page10"/>
    <w:bookmarkEnd w:id="9"/>
    <w:p>
      <w:pPr>
        <w:ind w:right="160" w:firstLine="509"/>
        <w:spacing w:after="0" w:line="279" w:lineRule="auto"/>
        <w:rPr>
          <w:sz w:val="20"/>
          <w:szCs w:val="20"/>
          <w:color w:val="auto"/>
        </w:rPr>
      </w:pPr>
      <w:r>
        <w:rPr>
          <w:rFonts w:ascii="Arial" w:cs="Arial" w:eastAsia="Arial" w:hAnsi="Arial"/>
          <w:sz w:val="16"/>
          <w:szCs w:val="16"/>
          <w:color w:val="auto"/>
        </w:rPr>
        <w:t>The Company believes that its existing sources of liquidity will satisfy its working capital and capital requirements for at least 12 months from the issuance of its financial statements. Failure to generate sufficient revenues, achieve planned gross margins, or control operating costs will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59"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ongoing COVID-19 pandemic has impacted, and is expected to continue to impact, demand for the Company's products, which are used in procedures and therapies that are considered elective. COVID-19 may also, directly or indirectly, have an unfavorable impact on other areas of the Company's business including, but not limited to, supply chain, sales, third party manufacturing, research and development costs and clinical studies. The full effect of the COVID-19 pandemic on the Company's financial condition and results of operations remains highly uncertain and cannot be predicted with confidence, and will depend on certain developments, including the duration and severity of the COVID-19 pandemic and its potential variants. The impact on the Company's customers and suppliers and the range of governmental and community reactions to the pandemic are uncertain. The Company may continue to experience reduced customer demand or constrained supply that could materially adversely impact business, financial condition, results of operations, liquidity and cash flows in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8" w:lineRule="exact"/>
        <w:rPr>
          <w:sz w:val="20"/>
          <w:szCs w:val="20"/>
          <w:color w:val="auto"/>
        </w:rPr>
      </w:pPr>
    </w:p>
    <w:p>
      <w:pPr>
        <w:ind w:right="400" w:firstLine="509"/>
        <w:spacing w:after="0" w:line="248" w:lineRule="auto"/>
        <w:rPr>
          <w:sz w:val="20"/>
          <w:szCs w:val="20"/>
          <w:color w:val="auto"/>
        </w:rPr>
      </w:pPr>
      <w:r>
        <w:rPr>
          <w:rFonts w:ascii="Arial" w:cs="Arial" w:eastAsia="Arial" w:hAnsi="Arial"/>
          <w:sz w:val="18"/>
          <w:szCs w:val="18"/>
          <w:color w:val="auto"/>
        </w:rPr>
        <w:t>There have been no significant changes in the Company's significant accounting policies during the three months ended March 31, 2022, as compared with those disclosed in the 2021 Form 10-K for the year ended December 31, 2021 filed with the U.S Securities and Exchange Commission (SEC) on March 24,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generally accepted accounting principles in the United States of America (“GAAP”) applicable to interim periods and pursuant to the instructions to Form 10-Q and Article 10 of Regulation S-X.</w:t>
      </w:r>
    </w:p>
    <w:p>
      <w:pPr>
        <w:spacing w:after="0" w:line="7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The unaudited consolidated financial statements have been prepared on a basis consistent with the audited financial statements. In the opinion of management, the unaudited consolidated financial statements reflect all adjustments, which include only normal recurring adjustments, necessary for the fair presentation of the Company's financial information contained herein. The condensed consolidated balance sheet as of December 31, 2021 has been derived from the audited financial statements at that date. These interim consolidated financial statements do not include all disclosures required by GAAP and should be read in conjunction with the Company's financial statements and accompanying notes for the fiscal year ended December 31, 2021, which are contained in the Company's 2021 Form 10-K filed with the SEC on March 24, 2022. The Company's results of operations for the three months ended March 31, 2022 are not necessarily indicative of the results to be expected for the year ending December 31, 2022 or for any other interim period.</w:t>
      </w:r>
    </w:p>
    <w:p>
      <w:pPr>
        <w:spacing w:after="0" w:line="163"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 during the reporting period. The most significant estimates related to inventory excess and obsolescence, the selection of useful lives of property and equipment, determination of the fair value of stock option grants, the fair value of the redeemable convertible preferred stock warrants,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ind w:right="240"/>
        <w:spacing w:after="0" w:line="261" w:lineRule="auto"/>
        <w:rPr>
          <w:sz w:val="20"/>
          <w:szCs w:val="20"/>
          <w:color w:val="auto"/>
        </w:rPr>
      </w:pPr>
      <w:r>
        <w:rPr>
          <w:rFonts w:ascii="Arial" w:cs="Arial" w:eastAsia="Arial" w:hAnsi="Arial"/>
          <w:sz w:val="18"/>
          <w:szCs w:val="18"/>
          <w:color w:val="231F20"/>
        </w:rPr>
        <w:t>information available as of the date of the financial statements. Actual results could differ from these estimates and such differences could be material to the Company’s financial position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During the three-month period ended March 31, 2022, there were no significant Accounting Standard Updates (ASU's) issued that were adopted. As of March 31, 2022, there are no significant ASU's issued and not yet adopted, that are expected to have a material impact on the Company's financial statements and related disclosures.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63"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7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financial statements as of March 31, 2022 and December 31, 2021, do not include any assets or liabilities that are measured at fair value on a nonrecurring basis.</w:t>
      </w:r>
    </w:p>
    <w:p>
      <w:pPr>
        <w:spacing w:after="0" w:line="171"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Company measures the fair value of outstanding debt for disclosure purposes on a recurring basis. As of March 31, 2022 and December 31, 2021, total debt of $32.8 million and $32.7 million is reported at amortized cost, respectively. This outstanding debt is classified as Level 2 as it is not actively traded. The amortized cost of the outstanding debt approximates the fair value.</w:t>
      </w:r>
    </w:p>
    <w:p>
      <w:pPr>
        <w:spacing w:after="0" w:line="18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The Company measured the redeemable convertible preferred stock warrants using Level 3 unobservable inputs within the Black-Scholes option-pricing model. The key assumptions included the fair value of redeemable convertible preferred stock, volatility, the risk-free interest rate, expected term (remaining contractual term of the warrants) and dividend yield. The Company had limited historical volatility information available, and the expected volatility was based on actual volatility for comparable public companies projected over the expected terms of the warrants. The Company did not apply a forfeiture rate to the warrants as there was not enough historical information available to estimate such a rate. The risk-free rate was based on the U.S. Treasury yield curve at the time of the grant over the expected term of the warrants.</w:t>
      </w:r>
    </w:p>
    <w:p>
      <w:pPr>
        <w:spacing w:after="0" w:line="17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 determined the fair value of the redeemable convertible preferred stock warrants quarterly, with subsequent gains and losses from remeasurement of Level 3 financial liabilities recorded through other (expense) income, net in condensed statements of operations and comprehensive loss. The redeemable convertible preferred stock warrants were converted to common stock warrants upon the closing of the IPO and subsequently settled during the third quarter of the year ended December 31, 2021.</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ind w:right="580" w:firstLine="509"/>
        <w:spacing w:after="0" w:line="261" w:lineRule="auto"/>
        <w:rPr>
          <w:sz w:val="20"/>
          <w:szCs w:val="20"/>
          <w:color w:val="auto"/>
        </w:rPr>
      </w:pPr>
      <w:r>
        <w:rPr>
          <w:rFonts w:ascii="Arial" w:cs="Arial" w:eastAsia="Arial" w:hAnsi="Arial"/>
          <w:sz w:val="18"/>
          <w:szCs w:val="18"/>
          <w:color w:val="auto"/>
        </w:rPr>
        <w:t>A summary of the changes in the fair value of the Company’s Level 3 financial instruments for the three months ended March 31, 2021,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rPr>
              <w:t>Redeemable convertible</w:t>
            </w:r>
          </w:p>
        </w:tc>
      </w:tr>
      <w:tr>
        <w:trPr>
          <w:trHeight w:val="149"/>
        </w:trPr>
        <w:tc>
          <w:tcPr>
            <w:tcW w:w="7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 stock warrants</w:t>
            </w:r>
          </w:p>
        </w:tc>
      </w:tr>
      <w:tr>
        <w:trPr>
          <w:trHeight w:val="185"/>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liabilities</w:t>
            </w: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December 31, 2020</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(555 )</w:t>
            </w:r>
          </w:p>
        </w:tc>
      </w:tr>
      <w:tr>
        <w:trPr>
          <w:trHeight w:val="236"/>
        </w:trPr>
        <w:tc>
          <w:tcPr>
            <w:tcW w:w="7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 March 31, 2021</w:t>
            </w:r>
          </w:p>
        </w:tc>
        <w:tc>
          <w:tcPr>
            <w:tcW w:w="30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48"/>
        </w:trPr>
        <w:tc>
          <w:tcPr>
            <w:tcW w:w="718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180" w:type="dxa"/>
            <w:vAlign w:val="bottom"/>
          </w:tcPr>
          <w:p>
            <w:pPr>
              <w:spacing w:after="0"/>
              <w:rPr>
                <w:sz w:val="20"/>
                <w:szCs w:val="20"/>
                <w:color w:val="auto"/>
              </w:rPr>
            </w:pPr>
            <w:r>
              <w:rPr>
                <w:rFonts w:ascii="Arial" w:cs="Arial" w:eastAsia="Arial" w:hAnsi="Arial"/>
                <w:sz w:val="18"/>
                <w:szCs w:val="18"/>
                <w:b w:val="1"/>
                <w:bCs w:val="1"/>
                <w:i w:val="1"/>
                <w:iCs w:val="1"/>
                <w:color w:val="231F20"/>
              </w:rPr>
              <w:t>Property and Equipment, Net</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7180" w:type="dxa"/>
            <w:vAlign w:val="bottom"/>
          </w:tcPr>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3"/>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 March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As of December 31,</w:t>
            </w:r>
          </w:p>
        </w:tc>
      </w:tr>
      <w:tr>
        <w:trPr>
          <w:trHeight w:val="185"/>
        </w:trPr>
        <w:tc>
          <w:tcPr>
            <w:tcW w:w="7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Tools and equipment</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1,685</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r>
      <w:tr>
        <w:trPr>
          <w:trHeight w:val="203"/>
        </w:trPr>
        <w:tc>
          <w:tcPr>
            <w:tcW w:w="7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3,088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2,658</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(1,374 )</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(1,204 )</w:t>
            </w:r>
          </w:p>
        </w:tc>
      </w:tr>
      <w:tr>
        <w:trPr>
          <w:trHeight w:val="196"/>
        </w:trPr>
        <w:tc>
          <w:tcPr>
            <w:tcW w:w="71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1,714</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1,454</w:t>
            </w:r>
          </w:p>
        </w:tc>
        <w:tc>
          <w:tcPr>
            <w:tcW w:w="100" w:type="dxa"/>
            <w:vAlign w:val="bottom"/>
            <w:tcBorders>
              <w:top w:val="single" w:sz="8" w:color="CFF0FC"/>
            </w:tcBorders>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-2271395</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-2253615</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-424815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-159385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$0.2 million and $0.1 million for the three months ended March 31, 2022 and 2021,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March 31,</w:t>
            </w:r>
          </w:p>
        </w:tc>
        <w:tc>
          <w:tcPr>
            <w:tcW w:w="220" w:type="dxa"/>
            <w:vAlign w:val="bottom"/>
          </w:tcPr>
          <w:p>
            <w:pPr>
              <w:spacing w:after="0"/>
              <w:rPr>
                <w:sz w:val="15"/>
                <w:szCs w:val="15"/>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17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3,518</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2,726</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Current portion of lease liabilities</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534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 term interest payable</w:t>
            </w:r>
          </w:p>
        </w:tc>
        <w:tc>
          <w:tcPr>
            <w:tcW w:w="1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275</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Other accrued liabilities</w:t>
            </w:r>
          </w:p>
        </w:tc>
        <w:tc>
          <w:tcPr>
            <w:tcW w:w="1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1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5,067</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4,166</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5440" w:type="dxa"/>
            <w:vAlign w:val="bottom"/>
          </w:tcPr>
          <w:p>
            <w:pPr>
              <w:spacing w:after="0"/>
              <w:rPr>
                <w:sz w:val="20"/>
                <w:szCs w:val="20"/>
                <w:color w:val="auto"/>
              </w:rPr>
            </w:pPr>
            <w:r>
              <w:rPr>
                <w:rFonts w:ascii="Arial" w:cs="Arial" w:eastAsia="Arial" w:hAnsi="Arial"/>
                <w:sz w:val="18"/>
                <w:szCs w:val="18"/>
                <w:b w:val="1"/>
                <w:bCs w:val="1"/>
                <w:i w:val="1"/>
                <w:iCs w:val="1"/>
                <w:color w:val="231F20"/>
              </w:rPr>
              <w:t>Other Noncurrent Liabilities</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40" w:type="dxa"/>
            <w:vAlign w:val="bottom"/>
          </w:tcPr>
          <w:p>
            <w:pPr>
              <w:ind w:left="520"/>
              <w:spacing w:after="0"/>
              <w:rPr>
                <w:sz w:val="20"/>
                <w:szCs w:val="20"/>
                <w:color w:val="auto"/>
              </w:rPr>
            </w:pPr>
            <w:r>
              <w:rPr>
                <w:rFonts w:ascii="Arial" w:cs="Arial" w:eastAsia="Arial" w:hAnsi="Arial"/>
                <w:sz w:val="18"/>
                <w:szCs w:val="18"/>
                <w:color w:val="auto"/>
                <w:w w:val="94"/>
              </w:rPr>
              <w:t>Other noncurrent liabilities consist of the following (in thousands):</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As of March 31,</w:t>
            </w:r>
          </w:p>
        </w:tc>
        <w:tc>
          <w:tcPr>
            <w:tcW w:w="220" w:type="dxa"/>
            <w:vAlign w:val="bottom"/>
          </w:tcPr>
          <w:p>
            <w:pPr>
              <w:spacing w:after="0"/>
              <w:rPr>
                <w:sz w:val="24"/>
                <w:szCs w:val="24"/>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Noncurrent portion of lease liabilities</w:t>
            </w:r>
          </w:p>
        </w:tc>
        <w:tc>
          <w:tcPr>
            <w:tcW w:w="19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896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Long term interest payable</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17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200"/>
              <w:spacing w:after="0" w:line="196" w:lineRule="exact"/>
              <w:rPr>
                <w:sz w:val="20"/>
                <w:szCs w:val="20"/>
                <w:color w:val="auto"/>
              </w:rPr>
            </w:pPr>
            <w:r>
              <w:rPr>
                <w:rFonts w:ascii="Arial" w:cs="Arial" w:eastAsia="Arial" w:hAnsi="Arial"/>
                <w:sz w:val="18"/>
                <w:szCs w:val="18"/>
                <w:color w:val="auto"/>
              </w:rPr>
              <w:t>Total other noncurrent liabilities</w:t>
            </w:r>
          </w:p>
        </w:tc>
        <w:tc>
          <w:tcPr>
            <w:tcW w:w="20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1,862</w:t>
            </w: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40" w:type="dxa"/>
            <w:vAlign w:val="bottom"/>
            <w:vMerge w:val="restart"/>
          </w:tcPr>
          <w:p>
            <w:pPr>
              <w:jc w:val="right"/>
              <w:ind w:right="137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4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4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-2013585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-1996440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-630555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-630555</wp:posOffset>
            </wp:positionV>
            <wp:extent cx="431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Debt</w:t>
      </w:r>
    </w:p>
    <w:p>
      <w:pPr>
        <w:spacing w:after="0" w:line="10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In January 2019, the Company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the Company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67"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231F20"/>
        </w:rPr>
        <w:t>The obligations under the MidCap Credit Facility are guaranteed by the Company's current and future subsidiaries, subject to exceptions for certain foreign subsidiaries. Obligations under the agreements are secured by substantially all assets of the Company, including material intellectual property. Additionally, the Company is subject to customary affirmative and negative covenants as defined in the credit agreements, including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The agreements also have financial covenants that relate to minimum trailing revenue targets, which began in November 2020, and are tested on a monthly basis. As of March 31, 2022, the Company was in compliance with all financial and non-financial covenants.</w:t>
      </w:r>
    </w:p>
    <w:p>
      <w:pPr>
        <w:spacing w:after="0" w:line="5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231F20"/>
        </w:rPr>
        <w:t>The MidCap Credit Facility agreements each contain events of default that include, among others, non-payment of principal, interest or fees, breach of covenants, inaccuracy of representations and warranties, cross-defaults and bankruptcy and insolvency events.</w:t>
      </w:r>
    </w:p>
    <w:p>
      <w:pPr>
        <w:spacing w:after="0" w:line="63"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As of March 31, 2022 and December 31, 2021, $5.0 million was available to be drawn under the 2020 Revolver, respectively. The 2020 Revolver has not been drawn upon as of March 31, 2022 and December 31, 2021. Long-term and short-term debt was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As of March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w w:val="98"/>
              </w:rPr>
              <w:t>As of December 31,</w:t>
            </w:r>
          </w:p>
        </w:tc>
      </w:tr>
      <w:tr>
        <w:trPr>
          <w:trHeight w:val="185"/>
        </w:trPr>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Term Loan</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35,000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Total principal payments due</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Pr>
          <w:p>
            <w:pPr>
              <w:spacing w:after="0"/>
              <w:rPr>
                <w:sz w:val="17"/>
                <w:szCs w:val="17"/>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Less: debt discount related to warrant liability and issuance costs</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(2,183</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(2,344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Total amounts outstanding</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32,656</w:t>
            </w:r>
          </w:p>
        </w:tc>
        <w:tc>
          <w:tcPr>
            <w:tcW w:w="100" w:type="dxa"/>
            <w:vAlign w:val="bottom"/>
          </w:tcPr>
          <w:p>
            <w:pPr>
              <w:spacing w:after="0"/>
              <w:rPr>
                <w:sz w:val="17"/>
                <w:szCs w:val="17"/>
                <w:color w:val="auto"/>
              </w:rPr>
            </w:pPr>
          </w:p>
        </w:tc>
      </w:tr>
      <w:tr>
        <w:trPr>
          <w:trHeight w:val="19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32,656</w:t>
            </w:r>
          </w:p>
        </w:tc>
        <w:tc>
          <w:tcPr>
            <w:tcW w:w="100" w:type="dxa"/>
            <w:vAlign w:val="bottom"/>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7"/>
        </w:trPr>
        <w:tc>
          <w:tcPr>
            <w:tcW w:w="9220" w:type="dxa"/>
            <w:vAlign w:val="bottom"/>
            <w:gridSpan w:val="4"/>
          </w:tcPr>
          <w:p>
            <w:pPr>
              <w:ind w:left="520"/>
              <w:spacing w:after="0"/>
              <w:rPr>
                <w:sz w:val="20"/>
                <w:szCs w:val="20"/>
                <w:color w:val="auto"/>
              </w:rPr>
            </w:pPr>
            <w:r>
              <w:rPr>
                <w:rFonts w:ascii="Arial" w:cs="Arial" w:eastAsia="Arial" w:hAnsi="Arial"/>
                <w:sz w:val="18"/>
                <w:szCs w:val="18"/>
                <w:color w:val="auto"/>
              </w:rPr>
              <w:t>The repayment schedule relating to the Company’s debt as of March 31, 2022, is as follows (in thousands):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741"/>
              <w:spacing w:after="0"/>
              <w:rPr>
                <w:sz w:val="20"/>
                <w:szCs w:val="20"/>
                <w:color w:val="auto"/>
              </w:rPr>
            </w:pPr>
            <w:r>
              <w:rPr>
                <w:rFonts w:ascii="Arial" w:cs="Arial" w:eastAsia="Arial" w:hAnsi="Arial"/>
                <w:sz w:val="14"/>
                <w:szCs w:val="14"/>
                <w:b w:val="1"/>
                <w:bCs w:val="1"/>
                <w:color w:val="auto"/>
              </w:rPr>
              <w:t>Amount</w:t>
            </w: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 (remainder)</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1,458</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16,042</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96"/>
        </w:trPr>
        <w:tc>
          <w:tcPr>
            <w:tcW w:w="72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repayments</w:t>
            </w:r>
          </w:p>
        </w:tc>
        <w:tc>
          <w:tcPr>
            <w:tcW w:w="240" w:type="dxa"/>
            <w:vAlign w:val="bottom"/>
            <w:tcBorders>
              <w:top w:val="single" w:sz="8" w:color="CFF0FC"/>
            </w:tcBorders>
          </w:tcPr>
          <w:p>
            <w:pPr>
              <w:spacing w:after="0"/>
              <w:rPr>
                <w:sz w:val="17"/>
                <w:szCs w:val="17"/>
                <w:color w:val="auto"/>
              </w:rPr>
            </w:pPr>
          </w:p>
        </w:tc>
        <w:tc>
          <w:tcPr>
            <w:tcW w:w="15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35,000</w:t>
            </w:r>
          </w:p>
        </w:tc>
        <w:tc>
          <w:tcPr>
            <w:tcW w:w="100" w:type="dxa"/>
            <w:vAlign w:val="bottom"/>
            <w:tcBorders>
              <w:top w:val="single" w:sz="8" w:color="CFF0FC"/>
            </w:tcBorders>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-2148205</wp:posOffset>
            </wp:positionV>
            <wp:extent cx="768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-2148205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-1607820</wp:posOffset>
            </wp:positionV>
            <wp:extent cx="768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-1607820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04"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The Company’s leases mainly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3" w:name="page14"/>
    <w:bookmarkEnd w:id="13"/>
    <w:p>
      <w:pPr>
        <w:ind w:right="540"/>
        <w:spacing w:after="0" w:line="261" w:lineRule="auto"/>
        <w:rPr>
          <w:sz w:val="20"/>
          <w:szCs w:val="20"/>
          <w:color w:val="auto"/>
        </w:rPr>
      </w:pPr>
      <w:r>
        <w:rPr>
          <w:rFonts w:ascii="Arial" w:cs="Arial" w:eastAsia="Arial" w:hAnsi="Arial"/>
          <w:sz w:val="18"/>
          <w:szCs w:val="18"/>
          <w:color w:val="auto"/>
        </w:rPr>
        <w:t>incremental borrowing rate based on qualitative factors including company specific credit offers, lease term, general economics, and the interest rate environment.</w:t>
      </w:r>
    </w:p>
    <w:p>
      <w:pPr>
        <w:spacing w:after="0" w:line="63"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On February 5, 2021, the Company renewed the lease of the corporate headquarters in Menlo Park, California. The lease is a noncancelable operating lease for approximately 10,823 square feet of primary office space. The operating lease commenced on August 1, 2021 and is for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189"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The Company recognizes rent expense on a straight-line basis over the noncancelable lease term. The Company’s rent expense was $0.2 million for both the three months ended March 31, 2022 and 2021, respectively. As of March 31, 2022, the remaining lease term for the lease was 2.38 years.</w:t>
      </w:r>
    </w:p>
    <w:p>
      <w:pPr>
        <w:spacing w:after="0" w:line="12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Operating lease expense and supplemental cash flow information related to operating leases for the three months ended March 31, 2022 and 2021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76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1020" w:type="dxa"/>
            <w:vAlign w:val="bottom"/>
            <w:shd w:val="clear" w:color="auto" w:fill="CFF0FC"/>
          </w:tcPr>
          <w:p>
            <w:pPr>
              <w:jc w:val="right"/>
              <w:ind w:right="819"/>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173</w:t>
            </w: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w:t>
            </w:r>
          </w:p>
        </w:tc>
        <w:tc>
          <w:tcPr>
            <w:tcW w:w="140" w:type="dxa"/>
            <w:vAlign w:val="bottom"/>
            <w:shd w:val="clear" w:color="auto" w:fill="CFF0FC"/>
          </w:tcPr>
          <w:p>
            <w:pPr>
              <w:spacing w:after="0"/>
              <w:rPr>
                <w:sz w:val="17"/>
                <w:szCs w:val="17"/>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0"/>
                <w:szCs w:val="20"/>
                <w:color w:val="auto"/>
              </w:rPr>
            </w:pPr>
          </w:p>
        </w:tc>
      </w:tr>
    </w:tbl>
    <w:p>
      <w:pPr>
        <w:spacing w:after="0" w:line="3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Aggregate future minimum lease payments at March 31, 2022, under these noncancelable operating leases were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 March 31,</w:t>
            </w:r>
          </w:p>
        </w:tc>
      </w:tr>
      <w:tr>
        <w:trPr>
          <w:trHeight w:val="185"/>
        </w:trPr>
        <w:tc>
          <w:tcPr>
            <w:tcW w:w="9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r>
      <w:tr>
        <w:trPr>
          <w:trHeight w:val="196"/>
        </w:trPr>
        <w:tc>
          <w:tcPr>
            <w:tcW w:w="9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521</w:t>
            </w:r>
          </w:p>
        </w:tc>
        <w:tc>
          <w:tcPr>
            <w:tcW w:w="22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3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705</w:t>
            </w:r>
          </w:p>
        </w:tc>
        <w:tc>
          <w:tcPr>
            <w:tcW w:w="220" w:type="dxa"/>
            <w:vAlign w:val="bottom"/>
          </w:tcPr>
          <w:p>
            <w:pPr>
              <w:spacing w:after="0"/>
              <w:rPr>
                <w:sz w:val="17"/>
                <w:szCs w:val="17"/>
                <w:color w:val="auto"/>
              </w:rPr>
            </w:pPr>
          </w:p>
        </w:tc>
      </w:tr>
      <w:tr>
        <w:trPr>
          <w:trHeight w:val="203"/>
        </w:trPr>
        <w:tc>
          <w:tcPr>
            <w:tcW w:w="9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3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462</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9020" w:type="dxa"/>
            <w:vAlign w:val="bottom"/>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1,688</w:t>
            </w:r>
          </w:p>
        </w:tc>
        <w:tc>
          <w:tcPr>
            <w:tcW w:w="22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(258 )</w:t>
            </w:r>
          </w:p>
        </w:tc>
      </w:tr>
      <w:tr>
        <w:trPr>
          <w:trHeight w:val="196"/>
        </w:trPr>
        <w:tc>
          <w:tcPr>
            <w:tcW w:w="90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Present value of future minimum lease payments</w:t>
            </w: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1,430</w:t>
            </w:r>
          </w:p>
        </w:tc>
        <w:tc>
          <w:tcPr>
            <w:tcW w:w="220" w:type="dxa"/>
            <w:vAlign w:val="bottom"/>
            <w:tcBorders>
              <w:top w:val="single" w:sz="8" w:color="CFF0FC"/>
            </w:tcBorders>
          </w:tcPr>
          <w:p>
            <w:pPr>
              <w:spacing w:after="0"/>
              <w:rPr>
                <w:sz w:val="17"/>
                <w:szCs w:val="17"/>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current portion of operating lease liability</w:t>
            </w:r>
          </w:p>
        </w:tc>
        <w:tc>
          <w:tcPr>
            <w:tcW w:w="3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(534 )</w:t>
            </w:r>
          </w:p>
        </w:tc>
      </w:tr>
      <w:tr>
        <w:trPr>
          <w:trHeight w:val="196"/>
        </w:trPr>
        <w:tc>
          <w:tcPr>
            <w:tcW w:w="90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Operating lease liabilities - noncurrent</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w:t>
            </w:r>
          </w:p>
        </w:tc>
        <w:tc>
          <w:tcPr>
            <w:tcW w:w="220" w:type="dxa"/>
            <w:vAlign w:val="bottom"/>
            <w:tcBorders>
              <w:top w:val="single" w:sz="8" w:color="CFF0FC"/>
            </w:tcBorders>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-690880</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-424815</wp:posOffset>
            </wp:positionV>
            <wp:extent cx="596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-159385</wp:posOffset>
            </wp:positionV>
            <wp:extent cx="5969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Proceedings</w:t>
      </w:r>
    </w:p>
    <w:p>
      <w:pPr>
        <w:spacing w:after="0" w:line="10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On September 16, 2021, the Company filed suit in the U.S. District Court for the District of Delaware (C.A. No. 1:21-cv-01317) alleging that Ivantis, Inc. directly or indirectly infringes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invalid. No trial date has been set. The Company is presently unable to predict the outcome of this lawsuit or to reasonably estimate the potential financial impact of the lawsuit on the Company, if any.</w:t>
      </w:r>
    </w:p>
    <w:p>
      <w:pPr>
        <w:spacing w:after="0" w:line="5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100"/>
        <w:spacing w:after="0" w:line="248" w:lineRule="auto"/>
        <w:rPr>
          <w:sz w:val="20"/>
          <w:szCs w:val="20"/>
          <w:color w:val="auto"/>
        </w:rPr>
      </w:pPr>
      <w:r>
        <w:rPr>
          <w:rFonts w:ascii="Arial" w:cs="Arial" w:eastAsia="Arial" w:hAnsi="Arial"/>
          <w:sz w:val="18"/>
          <w:szCs w:val="18"/>
          <w:color w:val="auto"/>
        </w:rPr>
        <w:t>management reassesses potential liabilities related to pending claims and litigation and may revise its previous estimates, which could materially affect the Company’s results of operations in a given period. As of March 31, 2022 and December 31, 2021, the Company was not involved in any material legal proceedings except as described above.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Voluntary Recall</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March 2022, the Company announced a voluntary recall of the TearCare SmartHub 1.0 devices to ensure regulatory compliance with product classification codes following TearCare's 510(k) clearance with the FDA in December 2021. During the first quarter of 2022, the Company estimated the cost of providing customers with replacement TearCare SmartHub 1.5 devices to be $0.9 million, which was expensed to cost of goods sold in the first quarter. The Company began providing replacement devices in March 2022 and expects to have all replacement devices provided by the end of the second quarter of fiscal year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104"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47"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March 31, 2022 and December 31, 2021.</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4"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In connection with the Company’s IPO in July 2021, the Company’s certificate of incorporation was amended and restated to provide for 200,000,000 authorized shares of common stock with a par value of $0.001 per share and 10,000,000 authorized shares of preferred stock with a par value of $0.001 per share. The holders of common stock were also entitled to receive dividends whenever funds are legally available, when and if declared by the board of directors. As of March 31, 2022, no dividends have been declared to date. Each share of common stock is entitled to one vote.</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2022 and December 31, 2021, the Company had reserved common stock for future issuances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1640" w:type="dxa"/>
            <w:vAlign w:val="bottom"/>
          </w:tcPr>
          <w:p>
            <w:pPr>
              <w:jc w:val="right"/>
              <w:ind w:right="415"/>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62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r>
      <w:tr>
        <w:trPr>
          <w:trHeight w:val="185"/>
        </w:trPr>
        <w:tc>
          <w:tcPr>
            <w:tcW w:w="7660" w:type="dxa"/>
            <w:vAlign w:val="bottom"/>
          </w:tcPr>
          <w:p>
            <w:pPr>
              <w:spacing w:after="0"/>
              <w:rPr>
                <w:sz w:val="16"/>
                <w:szCs w:val="16"/>
                <w:color w:val="auto"/>
              </w:rPr>
            </w:pPr>
          </w:p>
        </w:tc>
        <w:tc>
          <w:tcPr>
            <w:tcW w:w="1640" w:type="dxa"/>
            <w:vAlign w:val="bottom"/>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88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Common stock options issued and outstanding</w:t>
            </w: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5,944,899</w:t>
            </w:r>
          </w:p>
        </w:tc>
        <w:tc>
          <w:tcPr>
            <w:tcW w:w="26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4,996,945</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Common stock available for future grant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3,684,766</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5,321,687</w:t>
            </w:r>
          </w:p>
        </w:tc>
        <w:tc>
          <w:tcPr>
            <w:tcW w:w="6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units outstanding</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656,573</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53,250</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purchase under ESPP</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850,000</w:t>
            </w:r>
          </w:p>
        </w:tc>
        <w:tc>
          <w:tcPr>
            <w:tcW w:w="60" w:type="dxa"/>
            <w:vAlign w:val="bottom"/>
          </w:tcPr>
          <w:p>
            <w:pPr>
              <w:spacing w:after="0"/>
              <w:rPr>
                <w:sz w:val="17"/>
                <w:szCs w:val="17"/>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11,136,238</w:t>
            </w:r>
          </w:p>
        </w:tc>
        <w:tc>
          <w:tcPr>
            <w:tcW w:w="2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11,221,882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ind w:right="100" w:firstLine="509"/>
        <w:spacing w:after="0" w:line="270" w:lineRule="auto"/>
        <w:rPr>
          <w:sz w:val="20"/>
          <w:szCs w:val="20"/>
          <w:color w:val="auto"/>
        </w:rPr>
      </w:pPr>
      <w:r>
        <w:rPr>
          <w:rFonts w:ascii="Arial" w:cs="Arial" w:eastAsia="Arial" w:hAnsi="Arial"/>
          <w:sz w:val="17"/>
          <w:szCs w:val="17"/>
          <w:color w:val="auto"/>
        </w:rPr>
        <w:t>There was no redeemable convertible preferred stock outstanding as of March 31, 2022 and December 31, 2021. In connection with the Company’s IPO in July 2021, all then-outstanding shares of redeemable convertible preferred stock were converted into 25,534,404 shares of common stock. This resulted in the reclassification of the related redeemable convertible preferred stock to common stock and APIC.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There were no warrants outstanding as of March 31, 2022 and December 31, 2021. The Company had previously issued redeemable convertible preferred stock warrants in connection with the Company's 2019 Term Loan agreement and 2020 Term Loan agreement. At initial recognition, the warrants were recorded at their estimated fair values and were subject to remeasurement at each balance sheet date. Upon completion of the IPO, the outstanding warrants were converted to common stock, resulting in the re-classification of the convertible preferred stock warrant liability to APIC. In August 2021, the warrants were net exercised and the Company issued 483,554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Equity Incentive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2011 Stock Option Plan and 2021 Equity Incentive Plan</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2011, the Company established its 2011 stock option plan (the “2011 Plan”) that provided for the granting of stock options to employees and nonemployees of the Company. In July 2021, the Company’s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Options under the 2021 Plan can be granted for periods of up to 10 years. For incentive stock options granted to a grantee who, at the time the option is granted, owns stock representing more than 10% of the voting power of all classes of stock of the Company or any parent or subsidiary of the Company, the term of the incentive stock option may be granted for periods of up to five years. The ISOs and NSOs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 period, with 25% vesting at the end of one year and the remaining vesting monthly thereafter; options granted as merit awards generally vest monthly over a four-year period. The Company reserved 5,200,000 shares of common stock for future issuance under the 2021 Plan.</w:t>
      </w:r>
    </w:p>
    <w:p>
      <w:pPr>
        <w:spacing w:after="0" w:line="78"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The Company’s 2011 Stock Plan was terminated in connection with the IPO and no further grants will be made under the 2011 Plan from the date that the 2021 Plan became effective. The terms under the 2011 Plan are consistent with those described above for the 2021 Plan. The Company had the ability to issue ISOs, NSOs, stock appreciation rights, dividend equivalent rights, restricted stock awards, and restricted stock unit awards.</w:t>
      </w:r>
    </w:p>
    <w:p>
      <w:pPr>
        <w:spacing w:after="0" w:line="3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At March 31, 2022 and December 31, 2021 there were 3,684,766 and 5,321,687 shares, respectively, of common stock available for issuance under the 2021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Option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2021 Plan: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7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Average Intrinsic 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tcPr>
          <w:p>
            <w:pPr>
              <w:spacing w:after="0"/>
              <w:rPr>
                <w:sz w:val="16"/>
                <w:szCs w:val="16"/>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300" w:type="dxa"/>
            <w:vAlign w:val="bottom"/>
          </w:tcPr>
          <w:p>
            <w:pPr>
              <w:jc w:val="right"/>
              <w:ind w:right="174"/>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Balances as of December 31, 2021</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4,996,945</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6.05</w:t>
            </w:r>
          </w:p>
        </w:tc>
        <w:tc>
          <w:tcPr>
            <w:tcW w:w="24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58,420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Grants</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1,328,000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17.43</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Forfeited/cancelled</w:t>
            </w: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(294,402 )</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0.85</w:t>
            </w: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Exercised/released</w:t>
            </w: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(85,644 )</w:t>
            </w: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0.93</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Balances as of March 31, 2022</w:t>
            </w:r>
          </w:p>
        </w:tc>
        <w:tc>
          <w:tcPr>
            <w:tcW w:w="1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5,944,899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8.92</w:t>
            </w:r>
          </w:p>
        </w:tc>
        <w:tc>
          <w:tcPr>
            <w:tcW w:w="18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8.3</w:t>
            </w:r>
          </w:p>
        </w:tc>
        <w:tc>
          <w:tcPr>
            <w:tcW w:w="440" w:type="dxa"/>
            <w:vAlign w:val="bottom"/>
            <w:tcBorders>
              <w:bottom w:val="single" w:sz="8" w:color="CFF0FC"/>
            </w:tcBorders>
            <w:gridSpan w:val="2"/>
            <w:shd w:val="clear" w:color="auto" w:fill="CFF0FC"/>
          </w:tcPr>
          <w:p>
            <w:pPr>
              <w:ind w:left="22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25,271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40" w:type="dxa"/>
            <w:vAlign w:val="bottom"/>
          </w:tcPr>
          <w:p>
            <w:pPr>
              <w:ind w:left="20"/>
              <w:spacing w:after="0" w:line="183" w:lineRule="exact"/>
              <w:rPr>
                <w:sz w:val="20"/>
                <w:szCs w:val="20"/>
                <w:color w:val="auto"/>
              </w:rPr>
            </w:pPr>
            <w:r>
              <w:rPr>
                <w:rFonts w:ascii="Arial" w:cs="Arial" w:eastAsia="Arial" w:hAnsi="Arial"/>
                <w:sz w:val="18"/>
                <w:szCs w:val="18"/>
                <w:color w:val="auto"/>
              </w:rPr>
              <w:t>Vested and exercisable as of March 31, 2022</w:t>
            </w:r>
          </w:p>
        </w:tc>
        <w:tc>
          <w:tcPr>
            <w:tcW w:w="1420" w:type="dxa"/>
            <w:vAlign w:val="bottom"/>
          </w:tcPr>
          <w:p>
            <w:pPr>
              <w:jc w:val="right"/>
              <w:spacing w:after="0" w:line="183" w:lineRule="exact"/>
              <w:rPr>
                <w:sz w:val="20"/>
                <w:szCs w:val="20"/>
                <w:color w:val="auto"/>
              </w:rPr>
            </w:pPr>
            <w:r>
              <w:rPr>
                <w:rFonts w:ascii="Arial" w:cs="Arial" w:eastAsia="Arial" w:hAnsi="Arial"/>
                <w:sz w:val="18"/>
                <w:szCs w:val="18"/>
                <w:color w:val="auto"/>
              </w:rPr>
              <w:t>2,069,638</w:t>
            </w:r>
          </w:p>
        </w:tc>
        <w:tc>
          <w:tcPr>
            <w:tcW w:w="28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3.55</w:t>
            </w:r>
          </w:p>
        </w:tc>
        <w:tc>
          <w:tcPr>
            <w:tcW w:w="18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6.7</w:t>
            </w:r>
          </w:p>
        </w:tc>
        <w:tc>
          <w:tcPr>
            <w:tcW w:w="44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3" w:lineRule="exact"/>
              <w:rPr>
                <w:sz w:val="20"/>
                <w:szCs w:val="20"/>
                <w:color w:val="auto"/>
              </w:rPr>
            </w:pPr>
            <w:r>
              <w:rPr>
                <w:rFonts w:ascii="Arial" w:cs="Arial" w:eastAsia="Arial" w:hAnsi="Arial"/>
                <w:sz w:val="18"/>
                <w:szCs w:val="18"/>
                <w:color w:val="auto"/>
              </w:rPr>
              <w:t>17,040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expected to vest as of March 31, 2022</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5,914,899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8.97</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44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24,927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4440" w:type="dxa"/>
            <w:vAlign w:val="bottom"/>
          </w:tcPr>
          <w:p>
            <w:pPr>
              <w:spacing w:after="0"/>
              <w:rPr>
                <w:sz w:val="24"/>
                <w:szCs w:val="24"/>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-744855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-727710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ind w:right="20" w:firstLine="509"/>
        <w:spacing w:after="0" w:line="257" w:lineRule="auto"/>
        <w:rPr>
          <w:sz w:val="20"/>
          <w:szCs w:val="20"/>
          <w:color w:val="auto"/>
        </w:rPr>
      </w:pPr>
      <w:r>
        <w:rPr>
          <w:rFonts w:ascii="Arial" w:cs="Arial" w:eastAsia="Arial" w:hAnsi="Arial"/>
          <w:sz w:val="17"/>
          <w:szCs w:val="17"/>
          <w:color w:val="auto"/>
        </w:rPr>
        <w:t>During the three months ended March 31, 2022 and 2021, the Company recorded stock-based compensation of $2.5 million and $0.3 million related to the stock option awards, respectively. The weighted-average grant-date fair values of options granted during the three months ended March 31, 2022 and 2021 was $9.76 and $4.98 per share, respectively. The aggregate intrinsic value of options exercised was $1.2 million during the three months ended March 31, 2022. The aggregate intrinsic value was calculated as the difference between the exercise prices of the underlying options and the estimated fair value of the common stock on the date of exercise. As of March 31, 2022, the unrecognized stock-based compensation of unvested options was $33.6 million, which is expected to be recognized over a weighted-average period of 3.27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w:t>
      </w:r>
    </w:p>
    <w:p>
      <w:pPr>
        <w:spacing w:after="0" w:line="212"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w w:val="99"/>
              </w:rPr>
              <w:t>Three Months Ended</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5"/>
        </w:trPr>
        <w:tc>
          <w:tcPr>
            <w:tcW w:w="5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4"/>
                <w:szCs w:val="14"/>
                <w:b w:val="1"/>
                <w:bCs w:val="1"/>
                <w:color w:val="auto"/>
              </w:rPr>
              <w:t>March 31,</w:t>
            </w:r>
          </w:p>
        </w:tc>
        <w:tc>
          <w:tcPr>
            <w:tcW w:w="1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190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2022</w:t>
            </w:r>
          </w:p>
        </w:tc>
        <w:tc>
          <w:tcPr>
            <w:tcW w:w="3420" w:type="dxa"/>
            <w:vAlign w:val="bottom"/>
            <w:gridSpan w:val="4"/>
          </w:tcPr>
          <w:p>
            <w:pPr>
              <w:jc w:val="right"/>
              <w:ind w:right="109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5.38</w:t>
            </w:r>
          </w:p>
        </w:tc>
        <w:tc>
          <w:tcPr>
            <w:tcW w:w="8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6.94</w:t>
            </w:r>
          </w:p>
        </w:tc>
        <w:tc>
          <w:tcPr>
            <w:tcW w:w="46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5.00</w:t>
            </w:r>
          </w:p>
        </w:tc>
        <w:tc>
          <w:tcPr>
            <w:tcW w:w="13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6.07</w:t>
            </w:r>
          </w:p>
        </w:tc>
        <w:tc>
          <w:tcPr>
            <w:tcW w:w="220" w:type="dxa"/>
            <w:vAlign w:val="bottom"/>
            <w:shd w:val="clear" w:color="auto" w:fill="CFF0FC"/>
          </w:tcPr>
          <w:p>
            <w:pPr>
              <w:spacing w:after="0"/>
              <w:rPr>
                <w:sz w:val="17"/>
                <w:szCs w:val="17"/>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jc w:val="right"/>
              <w:spacing w:after="0"/>
              <w:rPr>
                <w:sz w:val="20"/>
                <w:szCs w:val="20"/>
                <w:color w:val="auto"/>
              </w:rPr>
            </w:pPr>
            <w:r>
              <w:rPr>
                <w:rFonts w:ascii="Arial" w:cs="Arial" w:eastAsia="Arial" w:hAnsi="Arial"/>
                <w:sz w:val="18"/>
                <w:szCs w:val="18"/>
                <w:color w:val="auto"/>
              </w:rPr>
              <w:t>58.75%</w:t>
            </w:r>
          </w:p>
        </w:tc>
        <w:tc>
          <w:tcPr>
            <w:tcW w:w="800" w:type="dxa"/>
            <w:vAlign w:val="bottom"/>
          </w:tcPr>
          <w:p>
            <w:pPr>
              <w:ind w:left="20"/>
              <w:spacing w:after="0"/>
              <w:rPr>
                <w:sz w:val="20"/>
                <w:szCs w:val="20"/>
                <w:color w:val="auto"/>
              </w:rPr>
            </w:pPr>
            <w:r>
              <w:rPr>
                <w:rFonts w:ascii="Arial" w:cs="Arial" w:eastAsia="Arial" w:hAnsi="Arial"/>
                <w:sz w:val="18"/>
                <w:szCs w:val="18"/>
                <w:color w:val="auto"/>
                <w:w w:val="99"/>
              </w:rPr>
              <w:t>– 60.12%</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56.75%</w:t>
            </w:r>
          </w:p>
        </w:tc>
        <w:tc>
          <w:tcPr>
            <w:tcW w:w="1380" w:type="dxa"/>
            <w:vAlign w:val="bottom"/>
          </w:tcPr>
          <w:p>
            <w:pPr>
              <w:ind w:left="20"/>
              <w:spacing w:after="0"/>
              <w:rPr>
                <w:sz w:val="20"/>
                <w:szCs w:val="20"/>
                <w:color w:val="auto"/>
              </w:rPr>
            </w:pPr>
            <w:r>
              <w:rPr>
                <w:rFonts w:ascii="Arial" w:cs="Arial" w:eastAsia="Arial" w:hAnsi="Arial"/>
                <w:sz w:val="18"/>
                <w:szCs w:val="18"/>
                <w:color w:val="auto"/>
              </w:rPr>
              <w:t>– 57.69%</w:t>
            </w:r>
          </w:p>
        </w:tc>
        <w:tc>
          <w:tcPr>
            <w:tcW w:w="220" w:type="dxa"/>
            <w:vAlign w:val="bottom"/>
          </w:tcPr>
          <w:p>
            <w:pPr>
              <w:spacing w:after="0"/>
              <w:rPr>
                <w:sz w:val="19"/>
                <w:szCs w:val="19"/>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2.40%</w:t>
            </w:r>
          </w:p>
        </w:tc>
        <w:tc>
          <w:tcPr>
            <w:tcW w:w="20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0.48%</w:t>
            </w:r>
          </w:p>
        </w:tc>
        <w:tc>
          <w:tcPr>
            <w:tcW w:w="1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0.81%</w:t>
            </w:r>
          </w:p>
        </w:tc>
        <w:tc>
          <w:tcPr>
            <w:tcW w:w="220" w:type="dxa"/>
            <w:vAlign w:val="bottom"/>
            <w:shd w:val="clear" w:color="auto" w:fill="CFF0FC"/>
          </w:tcPr>
          <w:p>
            <w:pPr>
              <w:spacing w:after="0"/>
              <w:rPr>
                <w:sz w:val="17"/>
                <w:szCs w:val="17"/>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10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Risk-Free Interest Rate</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Rate</w:t>
      </w:r>
    </w:p>
    <w:p>
      <w:pPr>
        <w:spacing w:after="0" w:line="14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Stock Units</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RSUs are share awards that entitle the holder to receive freely tradable shares of the Company’s common stock upon vesting. The RSUs cannot be transferred, and the awards are subject to forfeiture if the holder’s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jc w:val="both"/>
        <w:ind w:right="180"/>
        <w:spacing w:after="0" w:line="248" w:lineRule="auto"/>
        <w:rPr>
          <w:sz w:val="20"/>
          <w:szCs w:val="20"/>
          <w:color w:val="auto"/>
        </w:rPr>
      </w:pPr>
      <w:r>
        <w:rPr>
          <w:rFonts w:ascii="Arial" w:cs="Arial" w:eastAsia="Arial" w:hAnsi="Arial"/>
          <w:sz w:val="18"/>
          <w:szCs w:val="18"/>
          <w:color w:val="auto"/>
        </w:rPr>
        <w:t>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share award activity under the 2021 Plan:</w:t>
      </w:r>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60" w:type="dxa"/>
            <w:vAlign w:val="bottom"/>
          </w:tcPr>
          <w:p>
            <w:pPr>
              <w:jc w:val="center"/>
              <w:ind w:left="608"/>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6"/>
              </w:rPr>
              <w:t>Weighted-Average Grant Date</w:t>
            </w:r>
          </w:p>
        </w:tc>
        <w:tc>
          <w:tcPr>
            <w:tcW w:w="80" w:type="dxa"/>
            <w:vAlign w:val="bottom"/>
          </w:tcPr>
          <w:p>
            <w:pPr>
              <w:spacing w:after="0"/>
              <w:rPr>
                <w:sz w:val="14"/>
                <w:szCs w:val="14"/>
                <w:color w:val="auto"/>
              </w:rPr>
            </w:pPr>
          </w:p>
        </w:tc>
      </w:tr>
      <w:tr>
        <w:trPr>
          <w:trHeight w:val="185"/>
        </w:trPr>
        <w:tc>
          <w:tcPr>
            <w:tcW w:w="4960" w:type="dxa"/>
            <w:vAlign w:val="bottom"/>
          </w:tcPr>
          <w:p>
            <w:pPr>
              <w:spacing w:after="0"/>
              <w:rPr>
                <w:sz w:val="16"/>
                <w:szCs w:val="16"/>
                <w:color w:val="auto"/>
              </w:rPr>
            </w:pPr>
          </w:p>
        </w:tc>
        <w:tc>
          <w:tcPr>
            <w:tcW w:w="146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 Per Share</w:t>
            </w:r>
          </w:p>
        </w:tc>
        <w:tc>
          <w:tcPr>
            <w:tcW w:w="80" w:type="dxa"/>
            <w:vAlign w:val="bottom"/>
          </w:tcPr>
          <w:p>
            <w:pPr>
              <w:spacing w:after="0"/>
              <w:rPr>
                <w:sz w:val="16"/>
                <w:szCs w:val="16"/>
                <w:color w:val="auto"/>
              </w:rPr>
            </w:pP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December 31, 2021</w:t>
            </w:r>
          </w:p>
        </w:tc>
        <w:tc>
          <w:tcPr>
            <w:tcW w:w="14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53,250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22.91</w:t>
            </w:r>
          </w:p>
        </w:tc>
        <w:tc>
          <w:tcPr>
            <w:tcW w:w="80" w:type="dxa"/>
            <w:vAlign w:val="bottom"/>
            <w:shd w:val="clear" w:color="auto" w:fill="CFF0FC"/>
          </w:tcPr>
          <w:p>
            <w:pPr>
              <w:spacing w:after="0"/>
              <w:rPr>
                <w:sz w:val="17"/>
                <w:szCs w:val="17"/>
                <w:color w:val="auto"/>
              </w:rPr>
            </w:pPr>
          </w:p>
        </w:tc>
      </w:tr>
      <w:tr>
        <w:trPr>
          <w:trHeight w:val="203"/>
        </w:trPr>
        <w:tc>
          <w:tcPr>
            <w:tcW w:w="6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Grants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607,823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17.15</w:t>
            </w:r>
          </w:p>
        </w:tc>
        <w:tc>
          <w:tcPr>
            <w:tcW w:w="80" w:type="dxa"/>
            <w:vAlign w:val="bottom"/>
          </w:tcPr>
          <w:p>
            <w:pPr>
              <w:spacing w:after="0"/>
              <w:rPr>
                <w:sz w:val="17"/>
                <w:szCs w:val="17"/>
                <w:color w:val="auto"/>
              </w:rPr>
            </w:pPr>
          </w:p>
        </w:tc>
      </w:tr>
      <w:tr>
        <w:trPr>
          <w:trHeight w:val="203"/>
        </w:trPr>
        <w:tc>
          <w:tcPr>
            <w:tcW w:w="64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Forfeited/cancelled</w:t>
            </w:r>
          </w:p>
        </w:tc>
        <w:tc>
          <w:tcPr>
            <w:tcW w:w="8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(4,500 )</w:t>
            </w: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17.95</w:t>
            </w:r>
          </w:p>
        </w:tc>
        <w:tc>
          <w:tcPr>
            <w:tcW w:w="80" w:type="dxa"/>
            <w:vAlign w:val="bottom"/>
            <w:shd w:val="clear" w:color="auto" w:fill="CFF0FC"/>
          </w:tcPr>
          <w:p>
            <w:pPr>
              <w:spacing w:after="0"/>
              <w:rPr>
                <w:sz w:val="17"/>
                <w:szCs w:val="17"/>
                <w:color w:val="auto"/>
              </w:rPr>
            </w:pPr>
          </w:p>
        </w:tc>
      </w:tr>
      <w:tr>
        <w:trPr>
          <w:trHeight w:val="203"/>
        </w:trPr>
        <w:tc>
          <w:tcPr>
            <w:tcW w:w="6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Vested</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36"/>
        </w:trPr>
        <w:tc>
          <w:tcPr>
            <w:tcW w:w="49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Outstanding, March 31, 2022</w:t>
            </w:r>
          </w:p>
        </w:tc>
        <w:tc>
          <w:tcPr>
            <w:tcW w:w="146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656,573</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During the three months ended March 31, 2022 and 2021, the Company recorded stock-based compensation of $0.5 million and $0 related to the RSUs. As of March 31, 2022, there was $11.0 million of total unrecognized compensation cost related to the RSUs that is expected to be recognized over a weighted-average period of 3.71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Based Compensation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goods sold</w:t>
            </w:r>
          </w:p>
        </w:tc>
        <w:tc>
          <w:tcPr>
            <w:tcW w:w="3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3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2,595</w:t>
            </w: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00"/>
              <w:spacing w:after="0" w:line="196" w:lineRule="exact"/>
              <w:rPr>
                <w:sz w:val="20"/>
                <w:szCs w:val="20"/>
                <w:color w:val="auto"/>
              </w:rPr>
            </w:pPr>
            <w:r>
              <w:rPr>
                <w:rFonts w:ascii="Arial" w:cs="Arial" w:eastAsia="Arial" w:hAnsi="Arial"/>
                <w:sz w:val="18"/>
                <w:szCs w:val="18"/>
                <w:color w:val="auto"/>
              </w:rPr>
              <w:t>Total stock-based compensation expense</w:t>
            </w:r>
          </w:p>
        </w:tc>
        <w:tc>
          <w:tcPr>
            <w:tcW w:w="4220" w:type="dxa"/>
            <w:vAlign w:val="bottom"/>
            <w:gridSpan w:val="2"/>
          </w:tcPr>
          <w:p>
            <w:pPr>
              <w:jc w:val="right"/>
              <w:ind w:right="839"/>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2,974</w:t>
            </w:r>
          </w:p>
        </w:tc>
        <w:tc>
          <w:tcPr>
            <w:tcW w:w="800" w:type="dxa"/>
            <w:vAlign w:val="bottom"/>
            <w:gridSpan w:val="2"/>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277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0" w:type="dxa"/>
            <w:vAlign w:val="bottom"/>
            <w:vMerge w:val="restart"/>
          </w:tcPr>
          <w:p>
            <w:pPr>
              <w:jc w:val="right"/>
              <w:ind w:right="1730"/>
              <w:spacing w:after="0"/>
              <w:rPr>
                <w:sz w:val="20"/>
                <w:szCs w:val="20"/>
                <w:color w:val="auto"/>
              </w:rPr>
            </w:pPr>
            <w:r>
              <w:rPr>
                <w:rFonts w:ascii="Arial" w:cs="Arial" w:eastAsia="Arial" w:hAnsi="Arial"/>
                <w:sz w:val="18"/>
                <w:szCs w:val="18"/>
                <w:color w:val="auto"/>
              </w:rPr>
              <w:t>18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4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-622300</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-622300</wp:posOffset>
            </wp:positionV>
            <wp:extent cx="431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231F20"/>
        </w:rPr>
        <w:t>2021 Employee Stock Purchase Plan</w:t>
      </w:r>
    </w:p>
    <w:p>
      <w:pPr>
        <w:spacing w:after="0" w:line="10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In July 2021, the Board of Directors and stockholders also adopted and approved the 2021 Employee Stock Purchase Plan (the “ESPP”). The Company reserved 850,000 shares of common stock for future issuance under the ESPP.</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no shares of common stock have been purchased under the ESPP.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Net Loss per Share Attributable to Common Stockholders</w:t>
      </w:r>
    </w:p>
    <w:p>
      <w:pPr>
        <w:spacing w:after="0" w:line="108"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As the Company reported a net loss for the three months ended March 31, 2022 and 2021, basic net loss per share is the same as diluted net loss per share as the inclusion of potentially dilutive shares would have been antidilutive if included in the calculation.</w:t>
      </w:r>
    </w:p>
    <w:p>
      <w:pPr>
        <w:spacing w:after="0" w:line="182"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ectPr>
          <w:pgSz w:w="11900" w:h="16838" w:orient="portrait"/>
          <w:cols w:equalWidth="0" w:num="1">
            <w:col w:w="11240"/>
          </w:cols>
          <w:pgMar w:left="320" w:top="6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loss attributable to common stockholders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ind w:left="200"/>
        <w:spacing w:after="0" w:line="228" w:lineRule="auto"/>
        <w:rPr>
          <w:sz w:val="20"/>
          <w:szCs w:val="20"/>
          <w:color w:val="auto"/>
        </w:rPr>
      </w:pPr>
      <w:r>
        <w:rPr>
          <w:rFonts w:ascii="Arial" w:cs="Arial" w:eastAsia="Arial" w:hAnsi="Arial"/>
          <w:sz w:val="16"/>
          <w:szCs w:val="16"/>
          <w:color w:val="auto"/>
        </w:rPr>
        <w:t>Weighted-average shares of common stock</w:t>
      </w:r>
    </w:p>
    <w:p>
      <w:pPr>
        <w:ind w:left="340"/>
        <w:spacing w:after="0" w:line="235" w:lineRule="auto"/>
        <w:rPr>
          <w:sz w:val="20"/>
          <w:szCs w:val="20"/>
          <w:color w:val="auto"/>
        </w:rPr>
      </w:pPr>
      <w:r>
        <w:rPr>
          <w:rFonts w:ascii="Arial" w:cs="Arial" w:eastAsia="Arial" w:hAnsi="Arial"/>
          <w:sz w:val="18"/>
          <w:szCs w:val="18"/>
          <w:color w:val="auto"/>
        </w:rPr>
        <w:t>outstanding—basic and diluted</w:t>
      </w:r>
    </w:p>
    <w:p>
      <w:pPr>
        <w:ind w:left="200"/>
        <w:spacing w:after="0" w:line="216" w:lineRule="auto"/>
        <w:rPr>
          <w:sz w:val="20"/>
          <w:szCs w:val="20"/>
          <w:color w:val="auto"/>
        </w:rPr>
      </w:pPr>
      <w:r>
        <w:rPr>
          <w:rFonts w:ascii="Arial" w:cs="Arial" w:eastAsia="Arial" w:hAnsi="Arial"/>
          <w:sz w:val="17"/>
          <w:szCs w:val="17"/>
          <w:color w:val="auto"/>
        </w:rPr>
        <w:t>Net loss per share attributable to common</w:t>
      </w:r>
    </w:p>
    <w:p>
      <w:pPr>
        <w:ind w:left="340"/>
        <w:spacing w:after="0"/>
        <w:rPr>
          <w:sz w:val="20"/>
          <w:szCs w:val="20"/>
          <w:color w:val="auto"/>
        </w:rPr>
      </w:pPr>
      <w:r>
        <w:rPr>
          <w:rFonts w:ascii="Arial" w:cs="Arial" w:eastAsia="Arial" w:hAnsi="Arial"/>
          <w:sz w:val="18"/>
          <w:szCs w:val="18"/>
          <w:color w:val="auto"/>
        </w:rPr>
        <w:t>stockholders—basic and diluted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412"/>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(23,263 )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(12,240 )</w:t>
            </w:r>
          </w:p>
        </w:tc>
      </w:tr>
      <w:tr>
        <w:trPr>
          <w:trHeight w:val="553"/>
        </w:trPr>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47,569,499</w:t>
            </w:r>
          </w:p>
        </w:tc>
        <w:tc>
          <w:tcPr>
            <w:tcW w:w="3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9,517,270</w:t>
            </w:r>
          </w:p>
        </w:tc>
        <w:tc>
          <w:tcPr>
            <w:tcW w:w="80" w:type="dxa"/>
            <w:vAlign w:val="bottom"/>
          </w:tcPr>
          <w:p>
            <w:pPr>
              <w:spacing w:after="0"/>
              <w:rPr>
                <w:sz w:val="24"/>
                <w:szCs w:val="24"/>
                <w:color w:val="auto"/>
              </w:rPr>
            </w:pPr>
          </w:p>
        </w:tc>
      </w:tr>
      <w:tr>
        <w:trPr>
          <w:trHeight w:val="331"/>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(0.49 )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-864870</wp:posOffset>
            </wp:positionV>
            <wp:extent cx="71323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-607695</wp:posOffset>
            </wp:positionV>
            <wp:extent cx="71323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-239395</wp:posOffset>
            </wp:positionV>
            <wp:extent cx="713232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5960" w:space="720"/>
            <w:col w:w="4560"/>
          </w:cols>
          <w:pgMar w:left="320" w:top="679" w:right="339" w:bottom="1440" w:gutter="0" w:footer="0" w:header="0"/>
          <w:type w:val="continuous"/>
        </w:sectPr>
      </w:pPr>
    </w:p>
    <w:p>
      <w:pPr>
        <w:spacing w:after="0" w:line="90"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270"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Redeemable convertible preferred stock</w:t>
            </w:r>
          </w:p>
        </w:tc>
        <w:tc>
          <w:tcPr>
            <w:tcW w:w="10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12,767,202</w:t>
            </w:r>
          </w:p>
        </w:tc>
        <w:tc>
          <w:tcPr>
            <w:tcW w:w="60" w:type="dxa"/>
            <w:vAlign w:val="bottom"/>
            <w:shd w:val="clear" w:color="auto" w:fill="CFF0FC"/>
          </w:tcPr>
          <w:p>
            <w:pPr>
              <w:spacing w:after="0"/>
              <w:rPr>
                <w:sz w:val="17"/>
                <w:szCs w:val="17"/>
                <w:color w:val="auto"/>
              </w:rPr>
            </w:pPr>
          </w:p>
        </w:tc>
      </w:tr>
      <w:tr>
        <w:trPr>
          <w:trHeight w:val="203"/>
        </w:trPr>
        <w:tc>
          <w:tcPr>
            <w:tcW w:w="8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Options to purchase common stock</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89"/>
              </w:rPr>
              <w:t>5,944,899</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3,311,756</w:t>
            </w:r>
          </w:p>
        </w:tc>
        <w:tc>
          <w:tcPr>
            <w:tcW w:w="60" w:type="dxa"/>
            <w:vAlign w:val="bottom"/>
          </w:tcPr>
          <w:p>
            <w:pPr>
              <w:spacing w:after="0"/>
              <w:rPr>
                <w:sz w:val="17"/>
                <w:szCs w:val="17"/>
                <w:color w:val="auto"/>
              </w:rPr>
            </w:pPr>
          </w:p>
        </w:tc>
      </w:tr>
      <w:tr>
        <w:trPr>
          <w:trHeight w:val="203"/>
        </w:trPr>
        <w:tc>
          <w:tcPr>
            <w:tcW w:w="8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convertible preferred stock warrants</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329,514</w:t>
            </w:r>
          </w:p>
        </w:tc>
        <w:tc>
          <w:tcPr>
            <w:tcW w:w="60" w:type="dxa"/>
            <w:vAlign w:val="bottom"/>
            <w:shd w:val="clear" w:color="auto" w:fill="CFF0FC"/>
          </w:tcPr>
          <w:p>
            <w:pPr>
              <w:spacing w:after="0"/>
              <w:rPr>
                <w:sz w:val="17"/>
                <w:szCs w:val="17"/>
                <w:color w:val="auto"/>
              </w:rPr>
            </w:pPr>
          </w:p>
        </w:tc>
      </w:tr>
      <w:tr>
        <w:trPr>
          <w:trHeight w:val="203"/>
        </w:trPr>
        <w:tc>
          <w:tcPr>
            <w:tcW w:w="8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656,573</w:t>
            </w:r>
          </w:p>
        </w:tc>
        <w:tc>
          <w:tcPr>
            <w:tcW w:w="26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6,601,472</w:t>
            </w:r>
          </w:p>
        </w:tc>
        <w:tc>
          <w:tcPr>
            <w:tcW w:w="26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16,408,472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 Defined Contribution Plan</w:t>
      </w:r>
    </w:p>
    <w:p>
      <w:pPr>
        <w:spacing w:after="0" w:line="10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 sponsors a defined contribution plan under Section 401(k) of the IRC of 1986, as amended, covering substantially all of its full-time US employees. Participating employees may contribute up to 100% of their eligible compensation up to the annual Internal Revenue Service’s contribution limit. For the three months ended March 31, 2022 and 2021, the Company matched employee contributions in the amount of $0.2 million and $0,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Segment Information</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has two reportable operating segments which are determined on the basis of product portfolio: Surgical Glaucoma and Dry Eye. The operating and reportable segments were determined based on how the Company’s Chief Executive Officer, its Chief Operating Decision Maker (“CODM”), views and evaluates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9" w:name="page20"/>
    <w:bookmarkEnd w:id="19"/>
    <w:p>
      <w:pPr>
        <w:ind w:right="400"/>
        <w:spacing w:after="0" w:line="261" w:lineRule="auto"/>
        <w:rPr>
          <w:sz w:val="20"/>
          <w:szCs w:val="20"/>
          <w:color w:val="auto"/>
        </w:rPr>
      </w:pPr>
      <w:r>
        <w:rPr>
          <w:rFonts w:ascii="Arial" w:cs="Arial" w:eastAsia="Arial" w:hAnsi="Arial"/>
          <w:sz w:val="18"/>
          <w:szCs w:val="18"/>
          <w:color w:val="auto"/>
        </w:rPr>
        <w:t>Company’s operations. The CODM allocates resources to and evaluates the financial performance of each operating segment primarily based on gross profit and gross profit margin.</w:t>
      </w:r>
    </w:p>
    <w:p>
      <w:pPr>
        <w:spacing w:after="0" w:line="171"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Surgical Glaucoma segment includes sales of the Company’s OMNI® Surgical System for use in minimally invasive glaucoma procedures. Dry Eye segment includes sales of the Company’s TearCare® System and related components.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select operating results information for each reportable segment (dollars in thousands):</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5"/>
        </w:trPr>
        <w:tc>
          <w:tcPr>
            <w:tcW w:w="65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3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12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r>
      <w:tr>
        <w:trPr>
          <w:trHeight w:val="196"/>
        </w:trPr>
        <w:tc>
          <w:tcPr>
            <w:tcW w:w="65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Surgical Glaucoma</w:t>
            </w:r>
          </w:p>
        </w:tc>
        <w:tc>
          <w:tcPr>
            <w:tcW w:w="1280" w:type="dxa"/>
            <w:vAlign w:val="bottom"/>
          </w:tcPr>
          <w:p>
            <w:pPr>
              <w:jc w:val="right"/>
              <w:ind w:right="1096"/>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13,870</w:t>
            </w:r>
          </w:p>
        </w:tc>
        <w:tc>
          <w:tcPr>
            <w:tcW w:w="300" w:type="dxa"/>
            <w:vAlign w:val="bottom"/>
          </w:tcPr>
          <w:p>
            <w:pPr>
              <w:spacing w:after="0"/>
              <w:rPr>
                <w:sz w:val="17"/>
                <w:szCs w:val="17"/>
                <w:color w:val="auto"/>
              </w:rPr>
            </w:pP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8,139</w:t>
            </w:r>
          </w:p>
        </w:tc>
        <w:tc>
          <w:tcPr>
            <w:tcW w:w="300" w:type="dxa"/>
            <w:vAlign w:val="bottom"/>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Dry Eye</w:t>
            </w:r>
          </w:p>
        </w:tc>
        <w:tc>
          <w:tcPr>
            <w:tcW w:w="1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1,011</w:t>
            </w: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496</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14,881</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8,635</w:t>
            </w:r>
          </w:p>
        </w:tc>
        <w:tc>
          <w:tcPr>
            <w:tcW w:w="30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Cost of goods sold</w:t>
            </w:r>
          </w:p>
        </w:tc>
        <w:tc>
          <w:tcPr>
            <w:tcW w:w="1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Surgical Glaucoma</w:t>
            </w:r>
          </w:p>
        </w:tc>
        <w:tc>
          <w:tcPr>
            <w:tcW w:w="1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1,491</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1,858</w:t>
            </w:r>
          </w:p>
        </w:tc>
        <w:tc>
          <w:tcPr>
            <w:tcW w:w="300" w:type="dxa"/>
            <w:vAlign w:val="bottom"/>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Dry Eye</w:t>
            </w:r>
          </w:p>
        </w:tc>
        <w:tc>
          <w:tcPr>
            <w:tcW w:w="1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1,542</w:t>
            </w: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443</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ind w:left="360"/>
              <w:spacing w:after="0" w:line="196" w:lineRule="exact"/>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3,033</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2,301</w:t>
            </w:r>
          </w:p>
        </w:tc>
        <w:tc>
          <w:tcPr>
            <w:tcW w:w="30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1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Surgical Glaucoma</w:t>
            </w:r>
          </w:p>
        </w:tc>
        <w:tc>
          <w:tcPr>
            <w:tcW w:w="1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12,379</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6,281</w:t>
            </w:r>
          </w:p>
        </w:tc>
        <w:tc>
          <w:tcPr>
            <w:tcW w:w="300" w:type="dxa"/>
            <w:vAlign w:val="bottom"/>
          </w:tcPr>
          <w:p>
            <w:pPr>
              <w:spacing w:after="0"/>
              <w:rPr>
                <w:sz w:val="17"/>
                <w:szCs w:val="17"/>
                <w:color w:val="auto"/>
              </w:rPr>
            </w:pPr>
          </w:p>
        </w:tc>
      </w:tr>
      <w:tr>
        <w:trPr>
          <w:trHeight w:val="203"/>
        </w:trPr>
        <w:tc>
          <w:tcPr>
            <w:tcW w:w="6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Dry Eye</w:t>
            </w:r>
          </w:p>
        </w:tc>
        <w:tc>
          <w:tcPr>
            <w:tcW w:w="1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(531 )</w:t>
            </w:r>
          </w:p>
        </w:tc>
        <w:tc>
          <w:tcPr>
            <w:tcW w:w="6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7"/>
                <w:szCs w:val="17"/>
                <w:color w:val="auto"/>
              </w:rPr>
            </w:pPr>
          </w:p>
        </w:tc>
      </w:tr>
      <w:tr>
        <w:trPr>
          <w:trHeight w:val="196"/>
        </w:trPr>
        <w:tc>
          <w:tcPr>
            <w:tcW w:w="652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11,848</w:t>
            </w:r>
          </w:p>
        </w:tc>
        <w:tc>
          <w:tcPr>
            <w:tcW w:w="30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6,334</w:t>
            </w:r>
          </w:p>
        </w:tc>
        <w:tc>
          <w:tcPr>
            <w:tcW w:w="300" w:type="dxa"/>
            <w:vAlign w:val="bottom"/>
            <w:tcBorders>
              <w:top w:val="single" w:sz="8" w:color="CFF0FC"/>
            </w:tcBorders>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expense</w:t>
            </w:r>
          </w:p>
        </w:tc>
        <w:tc>
          <w:tcPr>
            <w:tcW w:w="1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34,041</w:t>
            </w: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17,990</w:t>
            </w:r>
          </w:p>
        </w:tc>
        <w:tc>
          <w:tcPr>
            <w:tcW w:w="30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1280" w:type="dxa"/>
            <w:vAlign w:val="bottom"/>
          </w:tcPr>
          <w:p>
            <w:pPr>
              <w:spacing w:after="0"/>
              <w:rPr>
                <w:sz w:val="17"/>
                <w:szCs w:val="17"/>
                <w:color w:val="auto"/>
              </w:rPr>
            </w:pPr>
          </w:p>
        </w:tc>
        <w:tc>
          <w:tcPr>
            <w:tcW w:w="10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(22,193 )</w:t>
            </w:r>
          </w:p>
        </w:tc>
        <w:tc>
          <w:tcPr>
            <w:tcW w:w="660" w:type="dxa"/>
            <w:vAlign w:val="bottom"/>
          </w:tcPr>
          <w:p>
            <w:pPr>
              <w:spacing w:after="0"/>
              <w:rPr>
                <w:sz w:val="17"/>
                <w:szCs w:val="17"/>
                <w:color w:val="auto"/>
              </w:rPr>
            </w:pPr>
          </w:p>
        </w:tc>
        <w:tc>
          <w:tcPr>
            <w:tcW w:w="16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(11,656 )</w:t>
            </w:r>
          </w:p>
        </w:tc>
      </w:tr>
      <w:tr>
        <w:trPr>
          <w:trHeight w:val="203"/>
        </w:trPr>
        <w:tc>
          <w:tcPr>
            <w:tcW w:w="6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(1,046 )</w:t>
            </w:r>
          </w:p>
        </w:tc>
        <w:tc>
          <w:tcPr>
            <w:tcW w:w="6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(1,084 )</w:t>
            </w:r>
          </w:p>
        </w:tc>
      </w:tr>
      <w:tr>
        <w:trPr>
          <w:trHeight w:val="203"/>
        </w:trPr>
        <w:tc>
          <w:tcPr>
            <w:tcW w:w="6520" w:type="dxa"/>
            <w:vAlign w:val="bottom"/>
          </w:tcPr>
          <w:p>
            <w:pPr>
              <w:ind w:left="180"/>
              <w:spacing w:after="0" w:line="202" w:lineRule="exact"/>
              <w:rPr>
                <w:sz w:val="20"/>
                <w:szCs w:val="20"/>
                <w:color w:val="auto"/>
              </w:rPr>
            </w:pPr>
            <w:r>
              <w:rPr>
                <w:rFonts w:ascii="Arial" w:cs="Arial" w:eastAsia="Arial" w:hAnsi="Arial"/>
                <w:sz w:val="18"/>
                <w:szCs w:val="18"/>
                <w:color w:val="auto"/>
              </w:rPr>
              <w:t>Other (expense) income, net</w:t>
            </w:r>
          </w:p>
        </w:tc>
        <w:tc>
          <w:tcPr>
            <w:tcW w:w="1280" w:type="dxa"/>
            <w:vAlign w:val="bottom"/>
          </w:tcPr>
          <w:p>
            <w:pPr>
              <w:spacing w:after="0"/>
              <w:rPr>
                <w:sz w:val="17"/>
                <w:szCs w:val="17"/>
                <w:color w:val="auto"/>
              </w:rPr>
            </w:pPr>
          </w:p>
        </w:tc>
        <w:tc>
          <w:tcPr>
            <w:tcW w:w="10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(15 )</w:t>
            </w:r>
          </w:p>
        </w:tc>
        <w:tc>
          <w:tcPr>
            <w:tcW w:w="6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300" w:type="dxa"/>
            <w:vAlign w:val="bottom"/>
          </w:tcPr>
          <w:p>
            <w:pPr>
              <w:spacing w:after="0"/>
              <w:rPr>
                <w:sz w:val="17"/>
                <w:szCs w:val="17"/>
                <w:color w:val="auto"/>
              </w:rPr>
            </w:pPr>
          </w:p>
        </w:tc>
      </w:tr>
      <w:tr>
        <w:trPr>
          <w:trHeight w:val="236"/>
        </w:trPr>
        <w:tc>
          <w:tcPr>
            <w:tcW w:w="6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Loss before income tax</w:t>
            </w:r>
          </w:p>
        </w:tc>
        <w:tc>
          <w:tcPr>
            <w:tcW w:w="1280" w:type="dxa"/>
            <w:vAlign w:val="bottom"/>
            <w:tcBorders>
              <w:top w:val="single" w:sz="8" w:color="auto"/>
              <w:bottom w:val="single" w:sz="8" w:color="auto"/>
            </w:tcBorders>
            <w:shd w:val="clear" w:color="auto" w:fill="CFF0FC"/>
          </w:tcPr>
          <w:p>
            <w:pPr>
              <w:jc w:val="right"/>
              <w:ind w:right="109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(23,254</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(12,188</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-1864995</wp:posOffset>
            </wp:positionV>
            <wp:extent cx="6032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-1864995</wp:posOffset>
            </wp:positionV>
            <wp:extent cx="596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-1342390</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-1342390</wp:posOffset>
            </wp:positionV>
            <wp:extent cx="596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-819150</wp:posOffset>
            </wp:positionV>
            <wp:extent cx="603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-819150</wp:posOffset>
            </wp:positionV>
            <wp:extent cx="5969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-553720</wp:posOffset>
            </wp:positionV>
            <wp:extent cx="6032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-553720</wp:posOffset>
            </wp:positionV>
            <wp:extent cx="596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 does not allocate any income and expenses beyond revenue and cost of goods sold to the reportable operating segments in its reporting to the CODM. No asset information is provided for reportable operating segments because they are not reviewed by the CODM on segment basis. Substantially all of the Company’s revenue is generated from sales in the United States, and none of its property and equipment is located outside the United States.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12. Subsequent Events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evaluated subsequent events through May 10, 2022, the date on which the condensed consolidated financial statements were available for issuance.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in this Quarterly Report on Form 10-Q and our audited financial statements and related notes as disclosed in our 2021 Form 10-K .</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Sight Sciences’ mission is to transform ophthalmology and optometry through the development and commercialization of proprietary devices that 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64"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comprehensively understand disease physiology,</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products that are intended to restore natural physiological functionality to diseased eyes;</w:t>
      </w:r>
    </w:p>
    <w:p>
      <w:pPr>
        <w:spacing w:after="0" w:line="103" w:lineRule="exact"/>
        <w:rPr>
          <w:rFonts w:ascii="Arial" w:cs="Arial" w:eastAsia="Arial" w:hAnsi="Arial"/>
          <w:sz w:val="18"/>
          <w:szCs w:val="18"/>
          <w:color w:val="231F20"/>
        </w:rPr>
      </w:pPr>
    </w:p>
    <w:p>
      <w:pPr>
        <w:ind w:left="1020" w:right="100" w:hanging="503"/>
        <w:spacing w:after="0" w:line="261"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and market products that achieve superior effectiveness versus current treatment paradigms while minimizing complications or side effects,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provide intuitive, patient friendly solutions to ophthalmologists and optometrists; and</w:t>
      </w:r>
    </w:p>
    <w:p>
      <w:pPr>
        <w:spacing w:after="0" w:line="103" w:lineRule="exact"/>
        <w:rPr>
          <w:rFonts w:ascii="Arial" w:cs="Arial" w:eastAsia="Arial" w:hAnsi="Arial"/>
          <w:sz w:val="18"/>
          <w:szCs w:val="18"/>
          <w:color w:val="231F20"/>
        </w:rPr>
      </w:pPr>
    </w:p>
    <w:p>
      <w:pPr>
        <w:ind w:left="1020" w:right="20" w:hanging="503"/>
        <w:spacing w:after="0" w:line="261"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deliver compelling economic value to all stakeholders, including patients, providers and third-party payors such as Medicare and commercial insurers</w:t>
      </w:r>
    </w:p>
    <w:p>
      <w:pPr>
        <w:spacing w:after="0" w:line="63" w:lineRule="exact"/>
        <w:rPr>
          <w:sz w:val="20"/>
          <w:szCs w:val="20"/>
          <w:color w:val="auto"/>
        </w:rPr>
      </w:pPr>
    </w:p>
    <w:p>
      <w:pPr>
        <w:ind w:firstLine="554"/>
        <w:spacing w:after="0" w:line="254" w:lineRule="auto"/>
        <w:rPr>
          <w:sz w:val="20"/>
          <w:szCs w:val="20"/>
          <w:color w:val="auto"/>
        </w:rPr>
      </w:pPr>
      <w:r>
        <w:rPr>
          <w:rFonts w:ascii="Arial" w:cs="Arial" w:eastAsia="Arial" w:hAnsi="Arial"/>
          <w:sz w:val="17"/>
          <w:szCs w:val="17"/>
          <w:color w:val="auto"/>
        </w:rPr>
        <w:t>Our initial product development has focused on the treatment of two of the world’s most prevalent and underserved eye diseases, glaucoma and dry eye disease. We have commercialized products in each of our two reportable segments; Surgical Glaucoma and Dry Eye. Our Surgical Glaucoma segment consists of sales of the OMNI Surgical System and our Dry Eye segment includes sales of the TearCare System ("TearCare"), and related components and accessories. Both systems are primarily sold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Eye Care Professionals ("ECPs"), patients and other stakeholders on our products and evolving treatment paradigms. Outside of the U.S., we have historically sold OMNI primarily through a network of distributors, although we began employing a small direct sales force outside of the United States in 2021.</w:t>
      </w:r>
    </w:p>
    <w:p>
      <w:pPr>
        <w:spacing w:after="0" w:line="18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 xml:space="preserve">We sell OMNI to facilities where ophthalmic surgeons perform outpatient procedures, mainly ambulatory surgery centers ("ASCs") and </w:t>
      </w:r>
      <w:r>
        <w:rPr>
          <w:rFonts w:ascii="Arial" w:cs="Arial" w:eastAsia="Arial" w:hAnsi="Arial"/>
          <w:sz w:val="17"/>
          <w:szCs w:val="17"/>
          <w:color w:val="231F20"/>
        </w:rPr>
        <w:t>hospital</w:t>
      </w:r>
      <w:r>
        <w:rPr>
          <w:rFonts w:ascii="Arial" w:cs="Arial" w:eastAsia="Arial" w:hAnsi="Arial"/>
          <w:sz w:val="17"/>
          <w:szCs w:val="17"/>
          <w:color w:val="auto"/>
        </w:rPr>
        <w:t xml:space="preserve"> </w:t>
      </w:r>
      <w:r>
        <w:rPr>
          <w:rFonts w:ascii="Arial" w:cs="Arial" w:eastAsia="Arial" w:hAnsi="Arial"/>
          <w:sz w:val="17"/>
          <w:szCs w:val="17"/>
          <w:color w:val="231F20"/>
        </w:rPr>
        <w:t xml:space="preserve">outpatient departments ("HOPDs"), </w:t>
      </w:r>
      <w:r>
        <w:rPr>
          <w:rFonts w:ascii="Arial" w:cs="Arial" w:eastAsia="Arial" w:hAnsi="Arial"/>
          <w:sz w:val="17"/>
          <w:szCs w:val="17"/>
          <w:color w:val="000000"/>
        </w:rPr>
        <w:t>which are typically reimbursed by Medicare or private payors for procedures using our products. We sell TearCare to</w:t>
      </w:r>
      <w:r>
        <w:rPr>
          <w:rFonts w:ascii="Arial" w:cs="Arial" w:eastAsia="Arial" w:hAnsi="Arial"/>
          <w:sz w:val="17"/>
          <w:szCs w:val="17"/>
          <w:color w:val="231F20"/>
        </w:rPr>
        <w:t xml:space="preserve"> </w:t>
      </w:r>
      <w:r>
        <w:rPr>
          <w:rFonts w:ascii="Arial" w:cs="Arial" w:eastAsia="Arial" w:hAnsi="Arial"/>
          <w:sz w:val="17"/>
          <w:szCs w:val="17"/>
          <w:color w:val="000000"/>
        </w:rPr>
        <w:t xml:space="preserve">optometrist and ophthalmologist practices. Currently, there is no meaningful reimbursement coverage by Medicare or private payors for </w:t>
      </w:r>
      <w:r>
        <w:rPr>
          <w:rFonts w:ascii="Arial" w:cs="Arial" w:eastAsia="Arial" w:hAnsi="Arial"/>
          <w:sz w:val="17"/>
          <w:szCs w:val="17"/>
          <w:color w:val="231F20"/>
        </w:rPr>
        <w:t>meibomian gland</w:t>
      </w:r>
      <w:r>
        <w:rPr>
          <w:rFonts w:ascii="Arial" w:cs="Arial" w:eastAsia="Arial" w:hAnsi="Arial"/>
          <w:sz w:val="17"/>
          <w:szCs w:val="17"/>
          <w:color w:val="000000"/>
        </w:rPr>
        <w:t xml:space="preserve"> </w:t>
      </w:r>
      <w:r>
        <w:rPr>
          <w:rFonts w:ascii="Arial" w:cs="Arial" w:eastAsia="Arial" w:hAnsi="Arial"/>
          <w:sz w:val="17"/>
          <w:szCs w:val="17"/>
          <w:color w:val="231F20"/>
        </w:rPr>
        <w:t>disease ("</w:t>
      </w:r>
      <w:r>
        <w:rPr>
          <w:rFonts w:ascii="Arial" w:cs="Arial" w:eastAsia="Arial" w:hAnsi="Arial"/>
          <w:sz w:val="17"/>
          <w:szCs w:val="17"/>
          <w:color w:val="000000"/>
        </w:rPr>
        <w:t>MGD") procedures, including TearCare, and patients typically pay out-of-pocket for TearCare. We are continuing our controlled commercial</w:t>
      </w:r>
      <w:r>
        <w:rPr>
          <w:rFonts w:ascii="Arial" w:cs="Arial" w:eastAsia="Arial" w:hAnsi="Arial"/>
          <w:sz w:val="17"/>
          <w:szCs w:val="17"/>
          <w:color w:val="231F20"/>
        </w:rPr>
        <w:t xml:space="preserve"> </w:t>
      </w:r>
      <w:r>
        <w:rPr>
          <w:rFonts w:ascii="Arial" w:cs="Arial" w:eastAsia="Arial" w:hAnsi="Arial"/>
          <w:sz w:val="17"/>
          <w:szCs w:val="17"/>
          <w:color w:val="000000"/>
        </w:rPr>
        <w:t>launch and are focused on our comprehensive, clinical data-driven long-term market development plan that aims to improve awareness and patient access to TearCare. We have dedicated meaningful resources to execute our commercial strategy and we continue to expand our sales organization through additional sales representatives and territories. The overall success of our approach to eyecare to date is evidenced by the approximately 100,000 estimated uses of OMNI and its direct predicates in over 1,200 hospitals and ASCs in the U.S. and Europe, and approximately 20,000 estimated uses of TearCare in over 600 eyecare facilities in the U.S. through March 31, 2022.</w:t>
      </w:r>
    </w:p>
    <w:p>
      <w:pPr>
        <w:spacing w:after="0" w:line="18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currently operate no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1" w:name="page22"/>
    <w:bookmarkEnd w:id="21"/>
    <w:p>
      <w:pPr>
        <w:ind w:firstLine="509"/>
        <w:spacing w:after="0" w:line="269" w:lineRule="auto"/>
        <w:rPr>
          <w:sz w:val="20"/>
          <w:szCs w:val="20"/>
          <w:color w:val="auto"/>
        </w:rPr>
      </w:pPr>
      <w:r>
        <w:rPr>
          <w:rFonts w:ascii="Arial" w:cs="Arial" w:eastAsia="Arial" w:hAnsi="Arial"/>
          <w:sz w:val="16"/>
          <w:szCs w:val="16"/>
          <w:color w:val="auto"/>
        </w:rPr>
        <w:t>Our gross margin in our Surgical Glaucoma segment for the three months ended March 31, 2022 and 2021 was 89.3% and 77.2%, respectively. Beginning with the production of finished goods inventory in the first quarter of 2021, we shifted our primary production of OMNI from a U.S.-based third-party contract manufacturer, to a lower cost, higher volume contract manufacturer in Asia. We are in the process of supplementing this OMNI production capacity with a U.S.-based contract manufacturer. These cost optimization initiatives contributed to the increase in gross margins in our Surgical Glaucoma segment. Our gross margin in our Dry Eye segment for the three months ended March 31, 2022 and 2021 was (52.5%) and 10.7%, respectively. Dry Eye gross margins for the three months ended March 31, 2022 were negatively impacted by our voluntary recall (see Note 6). The TearCare System includes the SmartHub component, which is typically only sold in initial purchase orders, and single-use SmartLids which are sold as part of initial purchase orders and through repeat orders as the ECP performs procedures over time. In an effort to build a meaningful TearCare installed base and encourage product trial and adoption by ECPs, our pricing strategy for SmartHubs has not focused on gross profit maximization. As the installed base of TearCare customers grows, we believe SmartLids, which currently generate higher gross margins than SmartHubs, will increase as a proportion of total Dry Eye segment revenues and gross profit. Given the earlier stage of TearCare’s commercial development and our pricing strategy with respect to SmartHubs, we expect our Dry Eye segment’s gross margins to be lower than our Surgical Glaucoma segment’s gross margins for the near and medium-term.</w:t>
      </w:r>
    </w:p>
    <w:p>
      <w:pPr>
        <w:spacing w:after="0" w:line="171"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DED or in new eye disease areas. As a result, we intend to continue to invest in clinical studies, sales and marketing, education initiatives, market access, and product development. Because of these and other factors, we expect to continue to incur net losses for at least the next several fiscal years. Moreover, we expect to incur additional expenses as a result of operating as a public company, including expenses related to compliance with the rules and regulations of the SEC and those of the Nasdaq Stock Market, additional insurance expenses, investor relations activities and other administrative and professional services. As a result of these and other factors, we may require and seek additional debt and equity financing to fund our operations and planned growth.</w:t>
      </w:r>
    </w:p>
    <w:p>
      <w:pPr>
        <w:spacing w:after="0" w:line="16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To date, our primary sources of capital has been private placements of redeemable convertible preferred stock, debt financing agreements, the sale of common stock in our initial public offering ("IPO"), and revenue from the sale of our products. In July 2021, we completed our IPO, receiving net proceeds of $252.2 million. As of March 31, 2022, we had an outstanding term loan balance of $35.0 million (excluding debt discount and amortized debt issuance costs). As of March 31, 2022, we had cash and cash equivalents of $238.6 million and an accumulated deficit of $176.3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global COVID-19 pandemic impacted and is expected to continue to impact demand for our products, which are used in procedures and therapies that are considered elective. Although some of these governmental restrictions have since been lifted or scaled back, recent and future surges of COVID-19 may result in restrictions being re-implemented in response to efforts to reduce the spread of COVID-19. As elective eyecare procedures in many facilities that utilize our products were temporarily suspended by governmental authorities, many patients avoided visiting ECPs, and, even in areas that allowed elective procedures, ECPs and healthcare facilities in general substantially reduced or in some cases halted, the scheduling and performance of such procedures. The decrease in demand for our products due to COVID-19 most significantly impacted our revenues in the latter part of the first quarter and the first half of the second quarter of 2020. Beginning in June 2020, we began to see an increase in the number of procedures using our products. In the first quarter of 2021, our customers experienced a significant number of procedure cancellations which we believe were largely driven by patients postponing in-office treatments until their COVID-19 vaccinations were completed (as opposed to any restrictions imposed on elective procedures), thus adversely impacting our revenues. As vaccine availability and the vaccinated population increases across the U.S., the recovery of our end markets resumed in the second quarter of 2021. Our normal business operations were again disrupted by resurgence of the Delta variant in the third quarter of 2021 and emergence of the Omicron variant in the fourth quarter of 2021 and into early 2022.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ind w:firstLine="509"/>
        <w:spacing w:after="0" w:line="253" w:lineRule="auto"/>
        <w:rPr>
          <w:sz w:val="20"/>
          <w:szCs w:val="20"/>
          <w:color w:val="auto"/>
        </w:rPr>
      </w:pPr>
      <w:r>
        <w:rPr>
          <w:rFonts w:ascii="Arial" w:cs="Arial" w:eastAsia="Arial" w:hAnsi="Arial"/>
          <w:sz w:val="17"/>
          <w:szCs w:val="17"/>
          <w:color w:val="auto"/>
        </w:rPr>
        <w:t>The ultimate impact of the COVID-19 pandemic on our operations is unknown and will depend on future developments which are highly uncertain and cannot be predicted with confidence, including the duration and severity of the COVID-19 outbreak (including prevalence and effect of the delta variant and other potential COVID-19 variants), the status of health and safety actions taken to contain its spread and any additional preventative and protective actions that governments or we may direct, any resurgence of COVID-19 that may occur and how quickly and to what extent economic and operating conditions normalize within the markets in which we operate. The COVID-19 pandemic could disrupt the operations of our third-party manufacturers and other suppliers. Although we have not experienced material disruptions in our supply chain to date, we cannot predict how long the pandemic and measures intended to contain the spread of COVID-19 will continue and what effect COVID-19 and the associated containment measures will have on our suppliers and vendors, in particular for any of our suppliers and vendors that may not qualify as essential businesses and suffer more significant disruptions to their business operations. We are working closely with our manufacturing partners and suppliers to help ensure that we are able to source key components and maintain appropriate inventory levels to meet customer demand.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Results of Operations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believe there are several important factors that have impacted and that will continue to impact our business and results of operations. There have been no material changes to such factors from those described in our 2021 Form 10-K under the heading "Factors Affecting our Business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231F20"/>
        </w:rPr>
        <w:t>We currently derive the majority of our U.S. revenue from the sale of OMNI to ASCs and HOPDs and TearCare to ophthalmology and optometry practices. During the three months ended March 31, 2022 and 2021, the revenues from our Surgical Glaucoma segment, including OMNI and its predicate devices, accounted for over 90% of our total revenues. Substantially all of our revenues for both periods were generated from sales within the U.S. Our OMNI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can reorder SmartLids as needed. No single customer accounted for 10% or more of our revenue for the three months ended March 31, 2022 and 2021.</w:t>
      </w:r>
    </w:p>
    <w:p>
      <w:pPr>
        <w:spacing w:after="0" w:line="19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231F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104"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231F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w:t>
      </w:r>
    </w:p>
    <w:p>
      <w:pPr>
        <w:spacing w:after="0" w:line="6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231F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long-term to the extent our production and ordering volumes increase and to the 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Research and development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We expect SG&amp;A expenses to continue to increase in absolute dollars as we expand our infrastructure to both drive and support the anticipated growth in revenue and due to additional legal, accounting, insurance and other expenses associated with being a public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outstanding loan.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231F20"/>
        </w:rPr>
        <w:t>Other (expense) income, net primarily consists of gains and losses resulting from the remeasurement of the fair value of our redeemable convertible preferred stock warrant liability during the prior reporting period. The redeemable convertible preferred stock warrants were exercised in 2021 and the final fair value of the warrant liability was reclassified to stockholders’ equity (deficit). We will no longer record any related periodic fair value adjustments.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39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69"/>
        </w:trPr>
        <w:tc>
          <w:tcPr>
            <w:tcW w:w="3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0"/>
              </w:rPr>
              <w:t>(unaudited)</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900" w:type="dxa"/>
            <w:vAlign w:val="bottom"/>
          </w:tcPr>
          <w:p>
            <w:pPr>
              <w:jc w:val="right"/>
              <w:ind w:right="719"/>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13,870</w:t>
            </w:r>
          </w:p>
        </w:tc>
        <w:tc>
          <w:tcPr>
            <w:tcW w:w="440" w:type="dxa"/>
            <w:vAlign w:val="bottom"/>
          </w:tcPr>
          <w:p>
            <w:pPr>
              <w:spacing w:after="0"/>
              <w:rPr>
                <w:sz w:val="17"/>
                <w:szCs w:val="17"/>
                <w:color w:val="auto"/>
              </w:rPr>
            </w:pPr>
          </w:p>
        </w:tc>
        <w:tc>
          <w:tcPr>
            <w:tcW w:w="900" w:type="dxa"/>
            <w:vAlign w:val="bottom"/>
          </w:tcPr>
          <w:p>
            <w:pPr>
              <w:jc w:val="right"/>
              <w:ind w:right="716"/>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8,139</w:t>
            </w:r>
          </w:p>
        </w:tc>
        <w:tc>
          <w:tcPr>
            <w:tcW w:w="400" w:type="dxa"/>
            <w:vAlign w:val="bottom"/>
          </w:tcPr>
          <w:p>
            <w:pPr>
              <w:spacing w:after="0"/>
              <w:rPr>
                <w:sz w:val="17"/>
                <w:szCs w:val="17"/>
                <w:color w:val="auto"/>
              </w:rPr>
            </w:pPr>
          </w:p>
        </w:tc>
        <w:tc>
          <w:tcPr>
            <w:tcW w:w="92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5,731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70.4 %</w:t>
            </w:r>
          </w:p>
        </w:tc>
      </w:tr>
      <w:tr>
        <w:trPr>
          <w:trHeight w:val="203"/>
        </w:trPr>
        <w:tc>
          <w:tcPr>
            <w:tcW w:w="3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i w:val="1"/>
                <w:iCs w:val="1"/>
                <w:color w:val="auto"/>
              </w:rPr>
              <w:t>Percentage of total revenue</w:t>
            </w:r>
          </w:p>
        </w:tc>
        <w:tc>
          <w:tcPr>
            <w:tcW w:w="9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i w:val="1"/>
                <w:iCs w:val="1"/>
                <w:color w:val="auto"/>
              </w:rPr>
              <w:t>93.2 %</w:t>
            </w:r>
          </w:p>
        </w:tc>
        <w:tc>
          <w:tcPr>
            <w:tcW w:w="9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i w:val="1"/>
                <w:iCs w:val="1"/>
                <w:color w:val="auto"/>
              </w:rPr>
              <w:t>94.3 %</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Dry Eye</w:t>
            </w: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103.8</w:t>
            </w:r>
          </w:p>
        </w:tc>
        <w:tc>
          <w:tcPr>
            <w:tcW w:w="260" w:type="dxa"/>
            <w:vAlign w:val="bottom"/>
          </w:tcPr>
          <w:p>
            <w:pPr>
              <w:spacing w:after="0"/>
              <w:rPr>
                <w:sz w:val="17"/>
                <w:szCs w:val="17"/>
                <w:color w:val="auto"/>
              </w:rPr>
            </w:pPr>
          </w:p>
        </w:tc>
      </w:tr>
      <w:tr>
        <w:trPr>
          <w:trHeight w:val="203"/>
        </w:trPr>
        <w:tc>
          <w:tcPr>
            <w:tcW w:w="3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i w:val="1"/>
                <w:iCs w:val="1"/>
                <w:color w:val="auto"/>
              </w:rPr>
              <w:t>Percentage of total revenue</w:t>
            </w:r>
          </w:p>
        </w:tc>
        <w:tc>
          <w:tcPr>
            <w:tcW w:w="9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i w:val="1"/>
                <w:iCs w:val="1"/>
                <w:color w:val="auto"/>
              </w:rPr>
              <w:t>6.8 %</w:t>
            </w:r>
          </w:p>
        </w:tc>
        <w:tc>
          <w:tcPr>
            <w:tcW w:w="9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i w:val="1"/>
                <w:iCs w:val="1"/>
                <w:color w:val="auto"/>
              </w:rPr>
              <w:t>5.7 %</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196"/>
        </w:trPr>
        <w:tc>
          <w:tcPr>
            <w:tcW w:w="394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14,881</w:t>
            </w:r>
          </w:p>
        </w:tc>
        <w:tc>
          <w:tcPr>
            <w:tcW w:w="4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8,635</w:t>
            </w:r>
          </w:p>
        </w:tc>
        <w:tc>
          <w:tcPr>
            <w:tcW w:w="40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6,246</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72.3</w:t>
            </w:r>
          </w:p>
        </w:tc>
        <w:tc>
          <w:tcPr>
            <w:tcW w:w="260" w:type="dxa"/>
            <w:vAlign w:val="bottom"/>
            <w:tcBorders>
              <w:top w:val="single" w:sz="8" w:color="CFF0FC"/>
            </w:tcBorders>
          </w:tcPr>
          <w:p>
            <w:pPr>
              <w:spacing w:after="0"/>
              <w:rPr>
                <w:sz w:val="17"/>
                <w:szCs w:val="17"/>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1,491</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1,858</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(367 )</w:t>
            </w:r>
          </w:p>
        </w:tc>
        <w:tc>
          <w:tcPr>
            <w:tcW w:w="34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(19.8 )</w:t>
            </w:r>
          </w:p>
        </w:tc>
      </w:tr>
      <w:tr>
        <w:trPr>
          <w:trHeight w:val="203"/>
        </w:trPr>
        <w:tc>
          <w:tcPr>
            <w:tcW w:w="39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Dry Eye</w:t>
            </w:r>
          </w:p>
        </w:tc>
        <w:tc>
          <w:tcPr>
            <w:tcW w:w="9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1,542</w:t>
            </w:r>
          </w:p>
        </w:tc>
        <w:tc>
          <w:tcPr>
            <w:tcW w:w="4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443</w:t>
            </w:r>
          </w:p>
        </w:tc>
        <w:tc>
          <w:tcPr>
            <w:tcW w:w="4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1,099</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248.1</w:t>
            </w: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3940" w:type="dxa"/>
            <w:vAlign w:val="bottom"/>
          </w:tcPr>
          <w:p>
            <w:pPr>
              <w:ind w:left="560"/>
              <w:spacing w:after="0" w:line="196" w:lineRule="exact"/>
              <w:rPr>
                <w:sz w:val="20"/>
                <w:szCs w:val="20"/>
                <w:color w:val="auto"/>
              </w:rPr>
            </w:pPr>
            <w:r>
              <w:rPr>
                <w:rFonts w:ascii="Arial" w:cs="Arial" w:eastAsia="Arial" w:hAnsi="Arial"/>
                <w:sz w:val="18"/>
                <w:szCs w:val="18"/>
                <w:color w:val="auto"/>
              </w:rPr>
              <w:t>Total</w:t>
            </w:r>
          </w:p>
        </w:tc>
        <w:tc>
          <w:tcPr>
            <w:tcW w:w="9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3,033</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2,301</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732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31.8</w:t>
            </w:r>
          </w:p>
        </w:tc>
        <w:tc>
          <w:tcPr>
            <w:tcW w:w="260" w:type="dxa"/>
            <w:vAlign w:val="bottom"/>
          </w:tcPr>
          <w:p>
            <w:pPr>
              <w:spacing w:after="0"/>
              <w:rPr>
                <w:sz w:val="17"/>
                <w:szCs w:val="17"/>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12,379</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6,281</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6,098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97.1</w:t>
            </w:r>
          </w:p>
        </w:tc>
        <w:tc>
          <w:tcPr>
            <w:tcW w:w="260" w:type="dxa"/>
            <w:vAlign w:val="bottom"/>
          </w:tcPr>
          <w:p>
            <w:pPr>
              <w:spacing w:after="0"/>
              <w:rPr>
                <w:sz w:val="17"/>
                <w:szCs w:val="17"/>
                <w:color w:val="auto"/>
              </w:rPr>
            </w:pPr>
          </w:p>
        </w:tc>
      </w:tr>
      <w:tr>
        <w:trPr>
          <w:trHeight w:val="203"/>
        </w:trPr>
        <w:tc>
          <w:tcPr>
            <w:tcW w:w="3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Dry Eye</w:t>
            </w:r>
          </w:p>
        </w:tc>
        <w:tc>
          <w:tcPr>
            <w:tcW w:w="9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81"/>
              <w:spacing w:after="0" w:line="202" w:lineRule="exact"/>
              <w:rPr>
                <w:sz w:val="20"/>
                <w:szCs w:val="20"/>
                <w:color w:val="auto"/>
              </w:rPr>
            </w:pPr>
            <w:r>
              <w:rPr>
                <w:rFonts w:ascii="Arial" w:cs="Arial" w:eastAsia="Arial" w:hAnsi="Arial"/>
                <w:sz w:val="18"/>
                <w:szCs w:val="18"/>
                <w:color w:val="auto"/>
              </w:rPr>
              <w:t>(531 )</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(584 )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(1,101.9 )</w:t>
            </w:r>
          </w:p>
        </w:tc>
      </w:tr>
      <w:tr>
        <w:trPr>
          <w:trHeight w:val="196"/>
        </w:trPr>
        <w:tc>
          <w:tcPr>
            <w:tcW w:w="394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11,848</w:t>
            </w:r>
          </w:p>
        </w:tc>
        <w:tc>
          <w:tcPr>
            <w:tcW w:w="4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6,334</w:t>
            </w:r>
          </w:p>
        </w:tc>
        <w:tc>
          <w:tcPr>
            <w:tcW w:w="40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5,514</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87.1</w:t>
            </w:r>
          </w:p>
        </w:tc>
        <w:tc>
          <w:tcPr>
            <w:tcW w:w="260" w:type="dxa"/>
            <w:vAlign w:val="bottom"/>
            <w:tcBorders>
              <w:top w:val="single" w:sz="8" w:color="CFF0FC"/>
            </w:tcBorders>
          </w:tcPr>
          <w:p>
            <w:pPr>
              <w:spacing w:after="0"/>
              <w:rPr>
                <w:sz w:val="17"/>
                <w:szCs w:val="17"/>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Surgical Glaucoma</w:t>
            </w:r>
          </w:p>
        </w:tc>
        <w:tc>
          <w:tcPr>
            <w:tcW w:w="900" w:type="dxa"/>
            <w:vAlign w:val="bottom"/>
          </w:tcPr>
          <w:p>
            <w:pPr>
              <w:spacing w:after="0"/>
              <w:rPr>
                <w:sz w:val="17"/>
                <w:szCs w:val="17"/>
                <w:color w:val="auto"/>
              </w:rPr>
            </w:pPr>
          </w:p>
        </w:tc>
        <w:tc>
          <w:tcPr>
            <w:tcW w:w="1020" w:type="dxa"/>
            <w:vAlign w:val="bottom"/>
            <w:gridSpan w:val="2"/>
          </w:tcPr>
          <w:p>
            <w:pPr>
              <w:jc w:val="right"/>
              <w:ind w:right="201"/>
              <w:spacing w:after="0" w:line="202" w:lineRule="exact"/>
              <w:rPr>
                <w:sz w:val="20"/>
                <w:szCs w:val="20"/>
                <w:color w:val="auto"/>
              </w:rPr>
            </w:pPr>
            <w:r>
              <w:rPr>
                <w:rFonts w:ascii="Arial" w:cs="Arial" w:eastAsia="Arial" w:hAnsi="Arial"/>
                <w:sz w:val="18"/>
                <w:szCs w:val="18"/>
                <w:i w:val="1"/>
                <w:iCs w:val="1"/>
                <w:color w:val="auto"/>
              </w:rPr>
              <w:t>89.3 %</w:t>
            </w:r>
          </w:p>
        </w:tc>
        <w:tc>
          <w:tcPr>
            <w:tcW w:w="900" w:type="dxa"/>
            <w:vAlign w:val="bottom"/>
          </w:tcPr>
          <w:p>
            <w:pPr>
              <w:spacing w:after="0"/>
              <w:rPr>
                <w:sz w:val="17"/>
                <w:szCs w:val="17"/>
                <w:color w:val="auto"/>
              </w:rPr>
            </w:pPr>
          </w:p>
        </w:tc>
        <w:tc>
          <w:tcPr>
            <w:tcW w:w="980" w:type="dxa"/>
            <w:vAlign w:val="bottom"/>
            <w:gridSpan w:val="2"/>
          </w:tcPr>
          <w:p>
            <w:pPr>
              <w:jc w:val="right"/>
              <w:ind w:right="150"/>
              <w:spacing w:after="0" w:line="202" w:lineRule="exact"/>
              <w:rPr>
                <w:sz w:val="20"/>
                <w:szCs w:val="20"/>
                <w:color w:val="auto"/>
              </w:rPr>
            </w:pPr>
            <w:r>
              <w:rPr>
                <w:rFonts w:ascii="Arial" w:cs="Arial" w:eastAsia="Arial" w:hAnsi="Arial"/>
                <w:sz w:val="18"/>
                <w:szCs w:val="18"/>
                <w:i w:val="1"/>
                <w:iCs w:val="1"/>
                <w:color w:val="auto"/>
              </w:rPr>
              <w:t>77.2 %</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Dry Eye</w:t>
            </w:r>
          </w:p>
        </w:tc>
        <w:tc>
          <w:tcPr>
            <w:tcW w:w="9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i w:val="1"/>
                <w:iCs w:val="1"/>
                <w:color w:val="auto"/>
              </w:rPr>
              <w:t>-52.5 %</w:t>
            </w:r>
          </w:p>
        </w:tc>
        <w:tc>
          <w:tcPr>
            <w:tcW w:w="9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i w:val="1"/>
                <w:iCs w:val="1"/>
                <w:color w:val="auto"/>
              </w:rPr>
              <w:t>10.7 %</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3940" w:type="dxa"/>
            <w:vAlign w:val="bottom"/>
          </w:tcPr>
          <w:p>
            <w:pPr>
              <w:ind w:left="560"/>
              <w:spacing w:after="0" w:line="196" w:lineRule="exact"/>
              <w:rPr>
                <w:sz w:val="20"/>
                <w:szCs w:val="20"/>
                <w:color w:val="auto"/>
              </w:rPr>
            </w:pPr>
            <w:r>
              <w:rPr>
                <w:rFonts w:ascii="Arial" w:cs="Arial" w:eastAsia="Arial" w:hAnsi="Arial"/>
                <w:sz w:val="18"/>
                <w:szCs w:val="18"/>
                <w:color w:val="auto"/>
              </w:rPr>
              <w:t>Total</w:t>
            </w:r>
          </w:p>
        </w:tc>
        <w:tc>
          <w:tcPr>
            <w:tcW w:w="900" w:type="dxa"/>
            <w:vAlign w:val="bottom"/>
          </w:tcPr>
          <w:p>
            <w:pPr>
              <w:spacing w:after="0"/>
              <w:rPr>
                <w:sz w:val="17"/>
                <w:szCs w:val="17"/>
                <w:color w:val="auto"/>
              </w:rPr>
            </w:pPr>
          </w:p>
        </w:tc>
        <w:tc>
          <w:tcPr>
            <w:tcW w:w="1020" w:type="dxa"/>
            <w:vAlign w:val="bottom"/>
            <w:gridSpan w:val="2"/>
          </w:tcPr>
          <w:p>
            <w:pPr>
              <w:jc w:val="right"/>
              <w:ind w:right="201"/>
              <w:spacing w:after="0" w:line="196" w:lineRule="exact"/>
              <w:rPr>
                <w:sz w:val="20"/>
                <w:szCs w:val="20"/>
                <w:color w:val="auto"/>
              </w:rPr>
            </w:pPr>
            <w:r>
              <w:rPr>
                <w:rFonts w:ascii="Arial" w:cs="Arial" w:eastAsia="Arial" w:hAnsi="Arial"/>
                <w:sz w:val="18"/>
                <w:szCs w:val="18"/>
                <w:i w:val="1"/>
                <w:iCs w:val="1"/>
                <w:color w:val="auto"/>
              </w:rPr>
              <w:t>79.6 %</w:t>
            </w:r>
          </w:p>
        </w:tc>
        <w:tc>
          <w:tcPr>
            <w:tcW w:w="900" w:type="dxa"/>
            <w:vAlign w:val="bottom"/>
          </w:tcPr>
          <w:p>
            <w:pPr>
              <w:spacing w:after="0"/>
              <w:rPr>
                <w:sz w:val="17"/>
                <w:szCs w:val="17"/>
                <w:color w:val="auto"/>
              </w:rPr>
            </w:pPr>
          </w:p>
        </w:tc>
        <w:tc>
          <w:tcPr>
            <w:tcW w:w="980" w:type="dxa"/>
            <w:vAlign w:val="bottom"/>
            <w:gridSpan w:val="2"/>
          </w:tcPr>
          <w:p>
            <w:pPr>
              <w:jc w:val="right"/>
              <w:ind w:right="150"/>
              <w:spacing w:after="0" w:line="196" w:lineRule="exact"/>
              <w:rPr>
                <w:sz w:val="20"/>
                <w:szCs w:val="20"/>
                <w:color w:val="auto"/>
              </w:rPr>
            </w:pPr>
            <w:r>
              <w:rPr>
                <w:rFonts w:ascii="Arial" w:cs="Arial" w:eastAsia="Arial" w:hAnsi="Arial"/>
                <w:sz w:val="18"/>
                <w:szCs w:val="18"/>
                <w:i w:val="1"/>
                <w:iCs w:val="1"/>
                <w:color w:val="auto"/>
              </w:rPr>
              <w:t>73.4 %</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5,646</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3,440</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2,206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64.1</w:t>
            </w:r>
          </w:p>
        </w:tc>
        <w:tc>
          <w:tcPr>
            <w:tcW w:w="260" w:type="dxa"/>
            <w:vAlign w:val="bottom"/>
          </w:tcPr>
          <w:p>
            <w:pPr>
              <w:spacing w:after="0"/>
              <w:rPr>
                <w:sz w:val="17"/>
                <w:szCs w:val="17"/>
                <w:color w:val="auto"/>
              </w:rPr>
            </w:pPr>
          </w:p>
        </w:tc>
      </w:tr>
      <w:tr>
        <w:trPr>
          <w:trHeight w:val="203"/>
        </w:trPr>
        <w:tc>
          <w:tcPr>
            <w:tcW w:w="39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28,395</w:t>
            </w:r>
          </w:p>
        </w:tc>
        <w:tc>
          <w:tcPr>
            <w:tcW w:w="4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14,550</w:t>
            </w:r>
          </w:p>
        </w:tc>
        <w:tc>
          <w:tcPr>
            <w:tcW w:w="4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13,845</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95.2</w:t>
            </w:r>
          </w:p>
        </w:tc>
        <w:tc>
          <w:tcPr>
            <w:tcW w:w="260" w:type="dxa"/>
            <w:vAlign w:val="bottom"/>
            <w:tcBorders>
              <w:bottom w:val="single" w:sz="8" w:color="CFF0FC"/>
            </w:tcBorders>
            <w:shd w:val="clear" w:color="auto" w:fill="CFF0FC"/>
          </w:tcPr>
          <w:p>
            <w:pPr>
              <w:spacing w:after="0"/>
              <w:rPr>
                <w:sz w:val="17"/>
                <w:szCs w:val="17"/>
                <w:color w:val="auto"/>
              </w:rPr>
            </w:pPr>
          </w:p>
        </w:tc>
      </w:tr>
      <w:tr>
        <w:trPr>
          <w:trHeight w:val="196"/>
        </w:trPr>
        <w:tc>
          <w:tcPr>
            <w:tcW w:w="3940" w:type="dxa"/>
            <w:vAlign w:val="bottom"/>
          </w:tcPr>
          <w:p>
            <w:pPr>
              <w:ind w:left="560"/>
              <w:spacing w:after="0" w:line="196" w:lineRule="exact"/>
              <w:rPr>
                <w:sz w:val="20"/>
                <w:szCs w:val="20"/>
                <w:color w:val="auto"/>
              </w:rPr>
            </w:pPr>
            <w:r>
              <w:rPr>
                <w:rFonts w:ascii="Arial" w:cs="Arial" w:eastAsia="Arial" w:hAnsi="Arial"/>
                <w:sz w:val="18"/>
                <w:szCs w:val="18"/>
                <w:color w:val="auto"/>
              </w:rPr>
              <w:t>Total operating expenses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34,041</w:t>
            </w:r>
          </w:p>
        </w:tc>
        <w:tc>
          <w:tcPr>
            <w:tcW w:w="4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17,990</w:t>
            </w:r>
          </w:p>
        </w:tc>
        <w:tc>
          <w:tcPr>
            <w:tcW w:w="4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16,051</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89.2</w:t>
            </w:r>
          </w:p>
        </w:tc>
        <w:tc>
          <w:tcPr>
            <w:tcW w:w="260" w:type="dxa"/>
            <w:vAlign w:val="bottom"/>
          </w:tcPr>
          <w:p>
            <w:pPr>
              <w:spacing w:after="0"/>
              <w:rPr>
                <w:sz w:val="17"/>
                <w:szCs w:val="17"/>
                <w:color w:val="auto"/>
              </w:rPr>
            </w:pPr>
          </w:p>
        </w:tc>
      </w:tr>
      <w:tr>
        <w:trPr>
          <w:trHeight w:val="196"/>
        </w:trPr>
        <w:tc>
          <w:tcPr>
            <w:tcW w:w="3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(22,193</w:t>
            </w:r>
          </w:p>
        </w:tc>
        <w:tc>
          <w:tcPr>
            <w:tcW w:w="440" w:type="dxa"/>
            <w:vAlign w:val="bottom"/>
            <w:shd w:val="clear" w:color="auto" w:fill="CFF0FC"/>
          </w:tcPr>
          <w:p>
            <w:pPr>
              <w:jc w:val="right"/>
              <w:ind w:right="281"/>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(11,656</w:t>
            </w:r>
          </w:p>
        </w:tc>
        <w:tc>
          <w:tcPr>
            <w:tcW w:w="40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(10,537</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90.4</w:t>
            </w: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7"/>
                <w:szCs w:val="17"/>
                <w:color w:val="auto"/>
              </w:rPr>
            </w:pPr>
          </w:p>
        </w:tc>
        <w:tc>
          <w:tcPr>
            <w:tcW w:w="102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(1,046 )</w:t>
            </w:r>
          </w:p>
        </w:tc>
        <w:tc>
          <w:tcPr>
            <w:tcW w:w="900" w:type="dxa"/>
            <w:vAlign w:val="bottom"/>
          </w:tcPr>
          <w:p>
            <w:pPr>
              <w:spacing w:after="0"/>
              <w:rPr>
                <w:sz w:val="17"/>
                <w:szCs w:val="17"/>
                <w:color w:val="auto"/>
              </w:rPr>
            </w:pPr>
          </w:p>
        </w:tc>
        <w:tc>
          <w:tcPr>
            <w:tcW w:w="9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(1,084 )</w:t>
            </w:r>
          </w:p>
        </w:tc>
        <w:tc>
          <w:tcPr>
            <w:tcW w:w="9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(3.5 )</w:t>
            </w:r>
          </w:p>
        </w:tc>
      </w:tr>
      <w:tr>
        <w:trPr>
          <w:trHeight w:val="203"/>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9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81"/>
              <w:spacing w:after="0" w:line="202" w:lineRule="exact"/>
              <w:rPr>
                <w:sz w:val="20"/>
                <w:szCs w:val="20"/>
                <w:color w:val="auto"/>
              </w:rPr>
            </w:pPr>
            <w:r>
              <w:rPr>
                <w:rFonts w:ascii="Arial" w:cs="Arial" w:eastAsia="Arial" w:hAnsi="Arial"/>
                <w:sz w:val="18"/>
                <w:szCs w:val="18"/>
                <w:color w:val="auto"/>
              </w:rPr>
              <w:t>(15 )</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w:t>
            </w: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(567 )</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(102.7 )</w:t>
            </w:r>
          </w:p>
        </w:tc>
      </w:tr>
      <w:tr>
        <w:trPr>
          <w:trHeight w:val="196"/>
        </w:trPr>
        <w:tc>
          <w:tcPr>
            <w:tcW w:w="39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r>
      <w:tr>
        <w:trPr>
          <w:trHeight w:val="202"/>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before income tax</w:t>
            </w:r>
          </w:p>
        </w:tc>
        <w:tc>
          <w:tcPr>
            <w:tcW w:w="9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81"/>
              <w:spacing w:after="0" w:line="202" w:lineRule="exact"/>
              <w:rPr>
                <w:sz w:val="20"/>
                <w:szCs w:val="20"/>
                <w:color w:val="auto"/>
              </w:rPr>
            </w:pPr>
            <w:r>
              <w:rPr>
                <w:rFonts w:ascii="Arial" w:cs="Arial" w:eastAsia="Arial" w:hAnsi="Arial"/>
                <w:sz w:val="18"/>
                <w:szCs w:val="18"/>
                <w:color w:val="auto"/>
                <w:w w:val="88"/>
              </w:rPr>
              <w:t>(23,254 )</w:t>
            </w:r>
          </w:p>
        </w:tc>
        <w:tc>
          <w:tcPr>
            <w:tcW w:w="9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88"/>
              </w:rPr>
              <w:t>(12,188 )</w:t>
            </w:r>
          </w:p>
        </w:tc>
        <w:tc>
          <w:tcPr>
            <w:tcW w:w="9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7"/>
              </w:rPr>
              <w:t>(11,066 )</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90.8</w:t>
            </w:r>
          </w:p>
        </w:tc>
        <w:tc>
          <w:tcPr>
            <w:tcW w:w="260" w:type="dxa"/>
            <w:vAlign w:val="bottom"/>
            <w:shd w:val="clear" w:color="auto" w:fill="CFF0FC"/>
          </w:tcPr>
          <w:p>
            <w:pPr>
              <w:spacing w:after="0"/>
              <w:rPr>
                <w:sz w:val="17"/>
                <w:szCs w:val="17"/>
                <w:color w:val="auto"/>
              </w:rPr>
            </w:pPr>
          </w:p>
        </w:tc>
      </w:tr>
      <w:tr>
        <w:trPr>
          <w:trHeight w:val="203"/>
        </w:trPr>
        <w:tc>
          <w:tcPr>
            <w:tcW w:w="394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w:t>
            </w: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(43 )</w:t>
            </w:r>
          </w:p>
        </w:tc>
        <w:tc>
          <w:tcPr>
            <w:tcW w:w="34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(82.7 )</w:t>
            </w:r>
          </w:p>
        </w:tc>
      </w:tr>
      <w:tr>
        <w:trPr>
          <w:trHeight w:val="20"/>
        </w:trPr>
        <w:tc>
          <w:tcPr>
            <w:tcW w:w="3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39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and comprehensive loss</w:t>
            </w:r>
          </w:p>
        </w:tc>
        <w:tc>
          <w:tcPr>
            <w:tcW w:w="900" w:type="dxa"/>
            <w:vAlign w:val="bottom"/>
            <w:tcBorders>
              <w:bottom w:val="single" w:sz="8" w:color="auto"/>
            </w:tcBorders>
            <w:shd w:val="clear" w:color="auto" w:fill="CFF0FC"/>
          </w:tcPr>
          <w:p>
            <w:pPr>
              <w:jc w:val="right"/>
              <w:ind w:right="719"/>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(23,263</w:t>
            </w:r>
          </w:p>
        </w:tc>
        <w:tc>
          <w:tcPr>
            <w:tcW w:w="440" w:type="dxa"/>
            <w:vAlign w:val="bottom"/>
            <w:tcBorders>
              <w:bottom w:val="single" w:sz="8" w:color="CFF0FC"/>
            </w:tcBorders>
            <w:shd w:val="clear" w:color="auto" w:fill="CFF0FC"/>
          </w:tcPr>
          <w:p>
            <w:pPr>
              <w:jc w:val="right"/>
              <w:ind w:right="281"/>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716"/>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8"/>
              </w:rPr>
              <w:t>(12,240</w:t>
            </w:r>
          </w:p>
        </w:tc>
        <w:tc>
          <w:tcPr>
            <w:tcW w:w="400" w:type="dxa"/>
            <w:vAlign w:val="bottom"/>
            <w:tcBorders>
              <w:bottom w:val="single" w:sz="8" w:color="CFF0FC"/>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73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(11,023</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90.1 %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-3176905</wp:posOffset>
            </wp:positionV>
            <wp:extent cx="17145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-3176905</wp:posOffset>
            </wp:positionV>
            <wp:extent cx="16319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-3176905</wp:posOffset>
            </wp:positionV>
            <wp:extent cx="6032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-3176905</wp:posOffset>
            </wp:positionV>
            <wp:extent cx="16319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-2653665</wp:posOffset>
            </wp:positionV>
            <wp:extent cx="17145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-2653665</wp:posOffset>
            </wp:positionV>
            <wp:extent cx="16319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-2653665</wp:posOffset>
            </wp:positionV>
            <wp:extent cx="603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-2653665</wp:posOffset>
            </wp:positionV>
            <wp:extent cx="16319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-2131060</wp:posOffset>
            </wp:positionV>
            <wp:extent cx="17145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-2131060</wp:posOffset>
            </wp:positionV>
            <wp:extent cx="16319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-2131060</wp:posOffset>
            </wp:positionV>
            <wp:extent cx="603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-2131060</wp:posOffset>
            </wp:positionV>
            <wp:extent cx="16319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-1607820</wp:posOffset>
            </wp:positionV>
            <wp:extent cx="17145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-1607820</wp:posOffset>
            </wp:positionV>
            <wp:extent cx="16319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-1607820</wp:posOffset>
            </wp:positionV>
            <wp:extent cx="603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-1607820</wp:posOffset>
            </wp:positionV>
            <wp:extent cx="16319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-1085215</wp:posOffset>
            </wp:positionV>
            <wp:extent cx="1714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-1085215</wp:posOffset>
            </wp:positionV>
            <wp:extent cx="16319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-1085215</wp:posOffset>
            </wp:positionV>
            <wp:extent cx="603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-1085215</wp:posOffset>
            </wp:positionV>
            <wp:extent cx="16319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-553720</wp:posOffset>
            </wp:positionV>
            <wp:extent cx="1714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-553720</wp:posOffset>
            </wp:positionV>
            <wp:extent cx="16319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-553720</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-553720</wp:posOffset>
            </wp:positionV>
            <wp:extent cx="16319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-24765</wp:posOffset>
            </wp:positionV>
            <wp:extent cx="171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171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631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631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right="80" w:firstLine="509"/>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in the three months ended March 31, 2022 was $14.9 million, an increase of $6.2 million, or 72.3%,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The overall increase in Surgical Glaucoma revenue was attributable to a significant increase in the number of OMNI units sold in the three months ended March 31, 2022 as a result of growth in the number of facilities ordering OMNI and an increase in unit utilization per ordering facility. Our Dry Eye revenues increased in the three months ended March 31, 2022 versus the comparable period in 2021 due to the continued growth in our installed base of facilities that have purchased TearCare. Surgical Glaucoma sales represented 93.2% and 94.3% of our revenue generated in the three months ended March 31, 2022 and 2021, respectively.</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i w:val="1"/>
          <w:iCs w:val="1"/>
          <w:color w:val="auto"/>
        </w:rPr>
        <w:t>Cost of Goods Sold and Gross Profit</w:t>
      </w:r>
      <w:r>
        <w:rPr>
          <w:rFonts w:ascii="Arial" w:cs="Arial" w:eastAsia="Arial" w:hAnsi="Arial"/>
          <w:sz w:val="17"/>
          <w:szCs w:val="17"/>
          <w:color w:val="auto"/>
        </w:rPr>
        <w:t>. Cost of goods sold during the three months ended March 31, 2022, increased $0.7 million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the prior year, as an increase in cost of goods sold in our Dry Eye segment was partially offset by a decrease within our Surgical Glaucoma segment. Dry Eye cost of goods sold increased $1.1 million in the three months ended March 31, 2022 over the comparable period in 2021, which was primarily driven by $0.9 million of charges in the 2022 period associated with the voluntary recall of our SmartHub 1.0 devices. Our Surgical Glaucoma cost of goods sold decreased $0.4 million as compared to 2021, which was primarily driven by the transition of OMNI manufacturing to Asia in early 2021, which lowered our production cost per unit. Further, the three months ended March 31, 2021 included a write-down of inventory from our original version of OMNI following the launch and adoption of our next generation OMNI System by our user base.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ind w:right="60" w:firstLine="509"/>
        <w:spacing w:after="0" w:line="241" w:lineRule="auto"/>
        <w:rPr>
          <w:sz w:val="20"/>
          <w:szCs w:val="20"/>
          <w:color w:val="auto"/>
        </w:rPr>
      </w:pPr>
      <w:r>
        <w:rPr>
          <w:rFonts w:ascii="Arial" w:cs="Arial" w:eastAsia="Arial" w:hAnsi="Arial"/>
          <w:sz w:val="18"/>
          <w:szCs w:val="18"/>
          <w:color w:val="auto"/>
        </w:rPr>
        <w:t>Our total gross profit was $11.8 million in the three months ended March 31, 2022, an increase of $5.5 million from the comparable period in 2021. Our total gross margin increased from 73.4% to 79.6% from the 2021 to the 2022 period. The increase in gross margin was primarily due to increased sales volume in OMNI units and manufacturing efficiencies. Gross margin in our Surgical Glaucoma segment was 89.3% for the quarter ended March 31, 2022, an increase from 77.2% for the prior year comparable period. In our Dry Eye segment, gross margin decreased from 10.7% in the first quarter of 2021, to (52.5%) for the quarter ended March 31, 2022.</w:t>
      </w:r>
    </w:p>
    <w:p>
      <w:pPr>
        <w:spacing w:after="0" w:line="189" w:lineRule="exact"/>
        <w:rPr>
          <w:sz w:val="20"/>
          <w:szCs w:val="20"/>
          <w:color w:val="auto"/>
        </w:rPr>
      </w:pPr>
    </w:p>
    <w:p>
      <w:pPr>
        <w:ind w:right="340" w:firstLine="509"/>
        <w:spacing w:after="0" w:line="262" w:lineRule="auto"/>
        <w:rPr>
          <w:sz w:val="20"/>
          <w:szCs w:val="20"/>
          <w:color w:val="auto"/>
        </w:rPr>
      </w:pPr>
      <w:r>
        <w:rPr>
          <w:rFonts w:ascii="Arial" w:cs="Arial" w:eastAsia="Arial" w:hAnsi="Arial"/>
          <w:sz w:val="17"/>
          <w:szCs w:val="17"/>
          <w:i w:val="1"/>
          <w:iCs w:val="1"/>
          <w:color w:val="auto"/>
        </w:rPr>
        <w:t>Research and Development ("R&amp;D") Expenses</w:t>
      </w:r>
      <w:r>
        <w:rPr>
          <w:rFonts w:ascii="Arial" w:cs="Arial" w:eastAsia="Arial" w:hAnsi="Arial"/>
          <w:sz w:val="17"/>
          <w:szCs w:val="17"/>
          <w:color w:val="auto"/>
        </w:rPr>
        <w:t>. The $2.2 million increase in R&amp;D expenses during the three months ended March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March 31, 2021 was primarily attributable to a $1.8 million increase in personnel expenses as a result of increased headcount, including a $0.3 million increase in stock-based compensation expense. In addition, there was a $0.2 million increase in clinical studies expense, and a $0.2 million increase in other services driven by overall increase in business activities.</w:t>
      </w:r>
    </w:p>
    <w:p>
      <w:pPr>
        <w:spacing w:after="0" w:line="172"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i w:val="1"/>
          <w:iCs w:val="1"/>
          <w:color w:val="auto"/>
        </w:rPr>
        <w:t>Selling, General, and Administrative ("SG&amp;A") Expenses</w:t>
      </w:r>
      <w:r>
        <w:rPr>
          <w:rFonts w:ascii="Arial" w:cs="Arial" w:eastAsia="Arial" w:hAnsi="Arial"/>
          <w:sz w:val="16"/>
          <w:szCs w:val="16"/>
          <w:color w:val="auto"/>
        </w:rPr>
        <w:t>. SG&amp;A expenses were $28.4 million for the three months ended March 31, 2022,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$13.8 million from the prior year comparable period. The increase was attributable to a $7.9 million increase in personnel expenses as a result of increased headcount, which included a $2.4 million increase in stock-based compensation expense. In addition to personnel expense increases, our SG&amp;A expense from 2021 to the 2022 period included a $1.4 million increase in professional services expense, including consulting and legal expenses, a $1.4 million increase in marketing expenses, a $1.1 million increase in training, events, and demos, and a $0.6 million increase in travel expenses.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consistent during the three months ended March 31, 2022 compared to the three months ended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Interest income (expense) decreased $0.6 million during the three months ended March 31, 2022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2021. This decrease was attributable to $0.6 million of income in the 2021 period related to the remeasurement of our convertible preferred stock warrants and recognition of the change in fair value. As detailed in the notes to our financial statements included herein, the convertible preferred stock warrants were automatically converted into common stock warrants concurrent with our IPO and subsequently exercised in the third quarter of fiscal year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w w:val="91"/>
              </w:rPr>
              <w:t>(21,966 )</w:t>
            </w: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91"/>
              </w:rPr>
              <w:t>(12,870 )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(227 )</w:t>
            </w:r>
          </w:p>
        </w:tc>
        <w:tc>
          <w:tcPr>
            <w:tcW w:w="960" w:type="dxa"/>
            <w:vAlign w:val="bottom"/>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(104 )</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shd w:val="clear" w:color="auto" w:fill="CFF0FC"/>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74"/>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(210 )</w:t>
            </w:r>
          </w:p>
        </w:tc>
      </w:tr>
      <w:tr>
        <w:trPr>
          <w:trHeight w:val="20"/>
        </w:trPr>
        <w:tc>
          <w:tcPr>
            <w:tcW w:w="76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Net (decrease) increase in cash</w:t>
            </w:r>
          </w:p>
        </w:tc>
        <w:tc>
          <w:tcPr>
            <w:tcW w:w="1000" w:type="dxa"/>
            <w:vAlign w:val="bottom"/>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1"/>
              </w:rPr>
              <w:t>(22,101 )</w:t>
            </w:r>
          </w:p>
        </w:tc>
        <w:tc>
          <w:tcPr>
            <w:tcW w:w="960" w:type="dxa"/>
            <w:vAlign w:val="bottom"/>
          </w:tcPr>
          <w:p>
            <w:pPr>
              <w:jc w:val="right"/>
              <w:ind w:right="774"/>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1"/>
              </w:rPr>
              <w:t>(13,184 )</w:t>
            </w:r>
          </w:p>
        </w:tc>
      </w:tr>
      <w:tr>
        <w:trPr>
          <w:trHeight w:val="20"/>
        </w:trPr>
        <w:tc>
          <w:tcPr>
            <w:tcW w:w="7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04"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Net cash used in operating activities for the three months ended March 31, 2022 was $22.0 million, consisting primarily of a net loss of $23.3 million. The net change in our net operating assets and liabilities during the period was $2.1 million, which was more than offset by non-cash charges of $3.4 million. The change in our net operating assets and liabilities was primarily due to a $1.2 million increase in accounts receivable and a $0.6 million increase in inventory to support the continued growth of our operations. Prepaid expenses decreased by $1.5 million as balances on annual prepaid contracts decreased during the period. The Company also had a $2.1 million decrease in accrued compensation and a $0.2 million decrease in accounts payable driven by the timing of payments on invoices and bonuses. The non-cash charges primarily consisted of $3.0 million related to stock-based compensation, $0.2 million of depreciation, $0.2 of accretion of debt discount and amortization of debt issuance costs, and $0.1 million of noncash operating lease expense.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right="220" w:firstLine="509"/>
        <w:spacing w:after="0" w:line="272" w:lineRule="auto"/>
        <w:rPr>
          <w:sz w:val="20"/>
          <w:szCs w:val="20"/>
          <w:color w:val="auto"/>
        </w:rPr>
      </w:pPr>
      <w:r>
        <w:rPr>
          <w:rFonts w:ascii="Arial" w:cs="Arial" w:eastAsia="Arial" w:hAnsi="Arial"/>
          <w:sz w:val="16"/>
          <w:szCs w:val="16"/>
          <w:color w:val="auto"/>
        </w:rPr>
        <w:t>Net cash used in operating activities for the three months ended March 31, 2021 was $12.9 million, consisting primarily of a net loss of $12.2 million. The change in our operating assets and liabilities of $1.0 million was partially offset by non-cash charges of $0.4 million. The change in our net operating assets and liabilities was primarily due to a $0.3 million increase in accounts receivable and $0.1 million increase in inventory to support the continued growth of our operations. Offsetting these changes, accounts payable increased by $1.0 million and accrued and other current liabilities also increased by $1.0 million, however, these were partially offset by a decrease in accrued compensation of $1.8 million. The non-cash charges primarily consisted of $0.2 million provision for excess and obsolete inventories, $0.1 million of depreciation, $0.2 million accretion of debt discount and amortization of debt issuance costs, $0.3 million stock-based compensation, and $0.2 million for noncash operating lease expense. These were partially offset by $0.6 million related to the change in fair value of redeemable convertible preferred stock warrants.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4"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Net cash used in investing activities in the three months ended March 31, 2022 and 2021 was $0.2 million and $0.1 million for purchases of property and equipment.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financing activities in the three months ended March 31, 2022 related to proceeds from stock option exercises.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financing activities in the three months ended March 31, 2021 was related to costs of $0.2 million paid related to our IPO.</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To date, our primary sources of capital have been private placements of redeemable convertible preferred stock, debt financing agreements, the sale of common stock in our IPO, and revenue from the sale of our products. In July 2021, we completed our IPO, including the underwriters' full exercise of their option to purchase additional shares, selling 11,500,000 shares of our common stock at $24.00 per share. Upon completion of our IPO, we received $252.2 million, after deducting underwriting discounts and commissions and offering costs.</w:t>
      </w:r>
    </w:p>
    <w:p>
      <w:pPr>
        <w:spacing w:after="0" w:line="172"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As of March 31, 2022, we had cash and cash equivalents of $238.6 million, an accumulated deficit of $176.3 million and $35.0 million outstanding under our term loan agreement (before debt discount). Based on our current planned operations, we expect our cash and cash equivalents and additional borrowings available under the 2020 Term Loan and the 2020 Revolver will enable us to fund our operations for at least the next twelve months.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Loan Agreements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January 2019, we entered into credit and security agreements with MidCap Financial Services (the "Lender"), which provided a maximum of $25.0 million credit facility consisting of a $20.0 million senior secured term loan (the "2019 Term Loan") and a $5.0 million 2019 revolving loan (the "2019 Revolver" and collectively with the 2019 Term Loan, the “2019 MidCap Credit Facility”). In November 2020, we entered into amended and restated credit and security agreements with the same institution, which replaced the 2019 MidCap Credit Facility, and provided for a maximum of $40.0 million credit facility consisting of a $35.0 million senior secured term loan (the "2020 Term Loan") and a $5.0 million revolving loan (the "2020 Revolver and collectively with the 2020 Term Loan, the “2020 MidCap Credit Facility”).</w:t>
      </w:r>
    </w:p>
    <w:p>
      <w:pPr>
        <w:spacing w:after="0" w:line="81"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231F20"/>
        </w:rPr>
        <w:t>Our obligations under the 2020 MidCap Credit Facility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7" w:name="page28"/>
    <w:bookmarkEnd w:id="27"/>
    <w:p>
      <w:pPr>
        <w:ind w:right="80"/>
        <w:spacing w:after="0" w:line="270" w:lineRule="auto"/>
        <w:rPr>
          <w:sz w:val="20"/>
          <w:szCs w:val="20"/>
          <w:color w:val="auto"/>
        </w:rPr>
      </w:pPr>
      <w:r>
        <w:rPr>
          <w:rFonts w:ascii="Arial" w:cs="Arial" w:eastAsia="Arial" w:hAnsi="Arial"/>
          <w:sz w:val="17"/>
          <w:szCs w:val="17"/>
          <w:color w:val="231F20"/>
        </w:rPr>
        <w:t>dividends or make distributions, repurchase stock and enter into certain transactions with affiliates, in each case subject to certain exceptions. The 2020 MidCap Credit Facility agreements also have financial covenants that relate to minimum trailing revenue targets, which began in November 2020, and are tested on a monthly basis. As of March 31, 2022, we were in compliance with all financial and non-financial covenants.</w:t>
      </w:r>
    </w:p>
    <w:p>
      <w:pPr>
        <w:spacing w:after="0" w:line="56"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The MidCap Credit Facility agreements each contain events of default that include, among others, non-payment of principal, interest or fees, breach of covenants, inaccuracy of representations and warranties, cross-defaults and bankruptcy and insolvency events.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Term Loan</w:t>
      </w:r>
    </w:p>
    <w:p>
      <w:pPr>
        <w:spacing w:after="0" w:line="10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231F20"/>
        </w:rPr>
        <w:t xml:space="preserve">The 2020 Term Loan agreement amended the maturity date to November 1, 2025 and adjusted the stated floating interest rate to reserve-adjusted LIBOR, </w:t>
      </w:r>
      <w:r>
        <w:rPr>
          <w:rFonts w:ascii="Arial" w:cs="Arial" w:eastAsia="Arial" w:hAnsi="Arial"/>
          <w:sz w:val="17"/>
          <w:szCs w:val="17"/>
          <w:i w:val="1"/>
          <w:iCs w:val="1"/>
          <w:color w:val="231F20"/>
        </w:rPr>
        <w:t>plus</w:t>
      </w:r>
      <w:r>
        <w:rPr>
          <w:rFonts w:ascii="Arial" w:cs="Arial" w:eastAsia="Arial" w:hAnsi="Arial"/>
          <w:sz w:val="17"/>
          <w:szCs w:val="17"/>
          <w:color w:val="231F20"/>
        </w:rPr>
        <w:t xml:space="preserve"> 7.00%. Outstanding principal amounts of Tranche One Loans and Tranche Two Loans borrowed under the 2019 Term Loan were designated as Tranche One Loans and Tranche Two Loans under the 2020 Term Loan. The Tranche Three Loan commitment amount was increased to $21.0 million and the full amount was drawn in November 2020. Principal payments under the 2020 Term Loan are scheduled to begin in December 2022. However, if certain conditions are met, the initiation of principal payments can be delayed to either December 2023 or December 2024. In addition, the final payment fee was amended to 6.0%. We are subject to certain financial and non-financial covenants.</w:t>
      </w:r>
    </w:p>
    <w:p>
      <w:pPr>
        <w:spacing w:after="0" w:line="175"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231F20"/>
        </w:rPr>
        <w:t>We incurred $0.7 million of issuance costs in conjunction with the 2020 Term Loan which were netted against the borrowed funds in the balance sheet and are being accreted using the effective interest method as interest expense over the contractual period of five years.</w:t>
      </w:r>
    </w:p>
    <w:p>
      <w:pPr>
        <w:spacing w:after="0" w:line="147"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231F20"/>
        </w:rPr>
        <w:t>In conjunction with the funding of the 2020 Term Loan, we issued a 10-year warrant to the Lender to purchase 300,000 shares of our Series F redeemable convertible preferred stock at an exercise price of $21.88 per share, or the 2020 MidCap Warrant, with the estimated fair value of $1.8 million. The 2020 MidCap Warrants were recorded at the fair value as a debt discount and as a warrant liability. The debt discount is being accreted using the effective interest method as interest expense over the contractual period of four years for the 2020 Term Loan.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Revolver</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231F20"/>
        </w:rPr>
        <w:t>The maturity date of the 2020 Revolver was amended to November 1, 2025 and the stated floating interest rate was adjusted to reserve-adjusted LIBOR plus 4.50%. As of March 31, 2022, $5.0 million was available to be drawn under the 2020 Revolver which remains undrawn. Other key terms of the 2020 Revolver remained substantially unchanged compared to those of 2019 Revolver.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Our corporate headquarters are located in Menlo Park, California, where we lease approximately 10,823 square feet of office, research and development, engineering and laboratory space pursuant to a lease that commenced on August 1, 2021, and expires on August 31, 2024. We also lease approximately 2,040 square feet of office space, which is primarily used by our commercial leadership team, in Southlake, Texas, pursuant to a lease that commenced on April 30, 2019 and expires on May 15,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Our condensed consolidated financial statements included elsewhere in this Quarterly Report on Form 10-Q are prepared in accordance with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8" w:name="page29"/>
    <w:bookmarkEnd w:id="28"/>
    <w:p>
      <w:pPr>
        <w:ind w:right="100" w:firstLine="509"/>
        <w:spacing w:after="0" w:line="241"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stock-based compensation have the greatest potential impact on our condensed consolidated financial statements. Therefore, we consider these to be our critical accounting policies and estimates.</w:t>
      </w:r>
    </w:p>
    <w:p>
      <w:pPr>
        <w:spacing w:after="0" w:line="189"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consolidated financial statements for the year ended December 31, 2021, included under the heading “Management’s Discussion and Analysis of Financial Condition and Results of Operations—Critical Accounting Policies and Estimates” in our 2021 Form 10-K and in Note 2 to our condensed consolidated financial statements appearing elsewhere in this Quarterly Report on Form 10-Q.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As of March 31, 2022, there are no significant Accounting Standard Updates (ASU's) issued and not yet adopted, that are expected to have a material impact on the Company's financial statements and related disclosures.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risk and foreign currency exchange rate risk. There have been no material changes to such risks from those described in our 2021 Form 10-K under "Item 3 - Quantitative and Qualitative Disclosures About Market Risk."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Our management, with the participation and supervision of our principal executive officer and our principal financial officer, evaluated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our principal executive officer and our principal financial officer concluded that as a result of the material weaknesses in our internal control over financial reporting described below, as of the end of the period covered by this Quarterly Report on Form 10-Q, our disclosure controls and procedures were not effective. However, our management, including our principal executive officer and our principal financial officer, has concluded that, notwithstanding the identified material weaknesses in our internal control over financial reporting, the condensed consolidated financial statements in this Quarterly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ind w:right="400"/>
        <w:spacing w:after="0" w:line="261" w:lineRule="auto"/>
        <w:rPr>
          <w:sz w:val="20"/>
          <w:szCs w:val="20"/>
          <w:color w:val="auto"/>
        </w:rPr>
      </w:pPr>
      <w:r>
        <w:rPr>
          <w:rFonts w:ascii="Arial" w:cs="Arial" w:eastAsia="Arial" w:hAnsi="Arial"/>
          <w:sz w:val="18"/>
          <w:szCs w:val="18"/>
          <w:color w:val="auto"/>
        </w:rPr>
        <w:t>Report on Form 10-Q fairly presented, in all material respects, our financial position, results of operations, and cash flows for the periods presented in conformity with GAAP.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on previously reported material weaknesses</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lack of </w:t>
      </w:r>
      <w:r>
        <w:rPr>
          <w:rFonts w:ascii="Arial" w:cs="Arial" w:eastAsia="Arial" w:hAnsi="Arial"/>
          <w:sz w:val="18"/>
          <w:szCs w:val="18"/>
          <w:color w:val="231F20"/>
        </w:rPr>
        <w:t>sufficient full-time accounting personnel with requisite experience and deep technical accounting knowledge to (i)</w:t>
      </w:r>
      <w:r>
        <w:rPr>
          <w:rFonts w:ascii="Arial" w:cs="Arial" w:eastAsia="Arial" w:hAnsi="Arial"/>
          <w:sz w:val="18"/>
          <w:szCs w:val="18"/>
          <w:color w:val="auto"/>
        </w:rPr>
        <w:t xml:space="preserve"> </w:t>
      </w:r>
      <w:r>
        <w:rPr>
          <w:rFonts w:ascii="Arial" w:cs="Arial" w:eastAsia="Arial" w:hAnsi="Arial"/>
          <w:sz w:val="18"/>
          <w:szCs w:val="18"/>
          <w:color w:val="231F20"/>
        </w:rPr>
        <w:t>identify and resolve complex accounting issues under GAAP, and (ii) enable appropriate segregation of duties and reviews over the financial reviews over the financial close and reporting process.</w:t>
      </w:r>
    </w:p>
    <w:p>
      <w:pPr>
        <w:spacing w:after="0" w:line="8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231F20"/>
        </w:rPr>
        <w:t xml:space="preserve">We have implemented and are in process of implementing additional measures to improve our internal control over financial reporting to remediate this material weakness, including </w:t>
      </w:r>
      <w:r>
        <w:rPr>
          <w:rFonts w:ascii="Arial" w:cs="Arial" w:eastAsia="Arial" w:hAnsi="Arial"/>
          <w:sz w:val="17"/>
          <w:szCs w:val="17"/>
          <w:color w:val="000000"/>
        </w:rPr>
        <w:t>(i) the hiring of personnel with technical accounting and financial reporting experience and (ii) the implementation of</w:t>
      </w:r>
      <w:r>
        <w:rPr>
          <w:rFonts w:ascii="Arial" w:cs="Arial" w:eastAsia="Arial" w:hAnsi="Arial"/>
          <w:sz w:val="17"/>
          <w:szCs w:val="17"/>
          <w:color w:val="231F20"/>
        </w:rPr>
        <w:t xml:space="preserve"> </w:t>
      </w:r>
      <w:r>
        <w:rPr>
          <w:rFonts w:ascii="Arial" w:cs="Arial" w:eastAsia="Arial" w:hAnsi="Arial"/>
          <w:sz w:val="17"/>
          <w:szCs w:val="17"/>
          <w:color w:val="000000"/>
        </w:rPr>
        <w:t>improved accounting and financial reporting procedures and systems to improve the completeness, timeliness and accuracy of our financial reporting and disclosures including the assessment of more judgmental areas of accounting. We are committed to continuing to improve our internal control processes and we will continue to diligently and vigorously review our financial reporting controls and procedures.</w:t>
      </w:r>
    </w:p>
    <w:p>
      <w:pPr>
        <w:spacing w:after="0" w:line="66"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231F20"/>
        </w:rPr>
        <w:t>We cannot assure you that the measures we have taken to date, and are continuing to implement, will be sufficient to remediate the material weakness we have identified or avoid potential future material weaknesses. While we believe that our efforts have improved our internal control over financial reporting, remediation of the material weaknesses will require further validation and testing of the design and operating effectiveness of internal controls over a sustained period of financial reporting cycles, and we cannot assure you that we have identified all, or that we will not in the future have additional material weaknesses.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right="500" w:firstLine="509"/>
        <w:spacing w:after="0" w:line="270" w:lineRule="auto"/>
        <w:rPr>
          <w:sz w:val="20"/>
          <w:szCs w:val="20"/>
          <w:color w:val="auto"/>
        </w:rPr>
      </w:pPr>
      <w:r>
        <w:rPr>
          <w:rFonts w:ascii="Arial" w:cs="Arial" w:eastAsia="Arial" w:hAnsi="Arial"/>
          <w:sz w:val="17"/>
          <w:szCs w:val="17"/>
          <w:color w:val="auto"/>
        </w:rPr>
        <w:t>Other than the changes intended to remediate the material weakness noted above, there were no changes in our internal control over financial reporting (as defined in Rules 13a-15(f) and 15d-15(f) under the Exchange Act) during the most recently completed fiscal quarter that has materially affected, or is reasonably likely to materially affect, our internal control over financial reporting.</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Please refer to Note 6, Commitments and Contingencies, in our notes to the unaudited condensed consolidated financial statements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with respect to risk factors previously disclosed in the 2021 Form 10-K.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 July 2021, we completed our IPO. All shares sold were registered pursuant to a registration statement on Form S-1 (File No. 333-257320), as amended (the "Registration Statement"), declared effective by the SEC on July 14, 2021.</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net proceeds from our IPO have been used and will be used, together with our cash and cash equivalents: (i) to fund ongoing and future clinical trials of OMNI and TearCare; (ii) to support the marketing and sales efforts for our products; (iii) for research and development; and (iii) for working capital and other general corporate purposes.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intended use of proceeds from our IPO as described in our Registration Statement.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or furnished as a part of, or incorporated by reference into, this Quarterly Report on Form 10-Q.</w:t>
      </w: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Incorporated by</w:t>
      </w:r>
    </w:p>
    <w:p>
      <w:pPr>
        <w:ind w:left="5220"/>
        <w:spacing w:after="0" w:line="228" w:lineRule="auto"/>
        <w:rPr>
          <w:sz w:val="20"/>
          <w:szCs w:val="20"/>
          <w:color w:val="auto"/>
        </w:rPr>
      </w:pPr>
      <w:r>
        <w:rPr>
          <w:rFonts w:ascii="Arial" w:cs="Arial" w:eastAsia="Arial" w:hAnsi="Arial"/>
          <w:sz w:val="16"/>
          <w:szCs w:val="16"/>
          <w:b w:val="1"/>
          <w:bCs w:val="1"/>
          <w:color w:val="auto"/>
        </w:rPr>
        <w:t>Reference</w:t>
      </w:r>
    </w:p>
    <w:tbl>
      <w:tblPr>
        <w:tblLayout w:type="fixed"/>
        <w:tblInd w:w="20" w:type="dxa"/>
        <w:tblCellMar>
          <w:top w:w="0" w:type="dxa"/>
          <w:left w:w="0" w:type="dxa"/>
          <w:bottom w:w="0" w:type="dxa"/>
          <w:right w:w="0" w:type="dxa"/>
        </w:tblCellMar>
      </w:tblPr>
      <w:tr>
        <w:trPr>
          <w:trHeight w:val="145"/>
        </w:trPr>
        <w:tc>
          <w:tcPr>
            <w:tcW w:w="1020" w:type="dxa"/>
            <w:vAlign w:val="bottom"/>
          </w:tcPr>
          <w:p>
            <w:pPr>
              <w:spacing w:after="0" w:line="145" w:lineRule="exact"/>
              <w:rPr>
                <w:sz w:val="20"/>
                <w:szCs w:val="20"/>
                <w:color w:val="auto"/>
              </w:rPr>
            </w:pPr>
            <w:r>
              <w:rPr>
                <w:rFonts w:ascii="Arial" w:cs="Arial" w:eastAsia="Arial" w:hAnsi="Arial"/>
                <w:sz w:val="16"/>
                <w:szCs w:val="16"/>
                <w:b w:val="1"/>
                <w:bCs w:val="1"/>
                <w:color w:val="auto"/>
              </w:rPr>
              <w:t>Exhibit</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gridSpan w:val="12"/>
          </w:tcPr>
          <w:p>
            <w:pPr>
              <w:spacing w:after="0" w:line="145" w:lineRule="exact"/>
              <w:rPr>
                <w:sz w:val="20"/>
                <w:szCs w:val="20"/>
                <w:color w:val="auto"/>
              </w:rPr>
            </w:pPr>
            <w:r>
              <w:rPr>
                <w:rFonts w:ascii="Arial" w:cs="Arial" w:eastAsia="Arial" w:hAnsi="Arial"/>
                <w:sz w:val="16"/>
                <w:szCs w:val="16"/>
                <w:b w:val="1"/>
                <w:bCs w:val="1"/>
                <w:color w:val="auto"/>
              </w:rPr>
              <w:t>Exhibit Description</w:t>
            </w:r>
          </w:p>
        </w:tc>
        <w:tc>
          <w:tcPr>
            <w:tcW w:w="1060" w:type="dxa"/>
            <w:vAlign w:val="bottom"/>
          </w:tcPr>
          <w:p>
            <w:pPr>
              <w:ind w:left="140"/>
              <w:spacing w:after="0" w:line="145" w:lineRule="exact"/>
              <w:rPr>
                <w:sz w:val="20"/>
                <w:szCs w:val="20"/>
                <w:color w:val="auto"/>
              </w:rPr>
            </w:pPr>
            <w:r>
              <w:rPr>
                <w:rFonts w:ascii="Arial" w:cs="Arial" w:eastAsia="Arial" w:hAnsi="Arial"/>
                <w:sz w:val="16"/>
                <w:szCs w:val="16"/>
                <w:b w:val="1"/>
                <w:bCs w:val="1"/>
                <w:color w:val="auto"/>
              </w:rPr>
              <w:t>Form</w:t>
            </w:r>
          </w:p>
        </w:tc>
        <w:tc>
          <w:tcPr>
            <w:tcW w:w="1540" w:type="dxa"/>
            <w:vAlign w:val="bottom"/>
          </w:tcPr>
          <w:p>
            <w:pPr>
              <w:ind w:left="540"/>
              <w:spacing w:after="0" w:line="145" w:lineRule="exact"/>
              <w:rPr>
                <w:sz w:val="20"/>
                <w:szCs w:val="20"/>
                <w:color w:val="auto"/>
              </w:rPr>
            </w:pPr>
            <w:r>
              <w:rPr>
                <w:rFonts w:ascii="Arial" w:cs="Arial" w:eastAsia="Arial" w:hAnsi="Arial"/>
                <w:sz w:val="16"/>
                <w:szCs w:val="16"/>
                <w:b w:val="1"/>
                <w:bCs w:val="1"/>
                <w:color w:val="auto"/>
              </w:rPr>
              <w:t>File No.</w:t>
            </w:r>
          </w:p>
        </w:tc>
        <w:tc>
          <w:tcPr>
            <w:tcW w:w="920" w:type="dxa"/>
            <w:vAlign w:val="bottom"/>
          </w:tcPr>
          <w:p>
            <w:pPr>
              <w:ind w:left="220"/>
              <w:spacing w:after="0" w:line="145" w:lineRule="exact"/>
              <w:rPr>
                <w:sz w:val="20"/>
                <w:szCs w:val="20"/>
                <w:color w:val="auto"/>
              </w:rPr>
            </w:pPr>
            <w:r>
              <w:rPr>
                <w:rFonts w:ascii="Arial" w:cs="Arial" w:eastAsia="Arial" w:hAnsi="Arial"/>
                <w:sz w:val="16"/>
                <w:szCs w:val="16"/>
                <w:b w:val="1"/>
                <w:bCs w:val="1"/>
                <w:color w:val="auto"/>
              </w:rPr>
              <w:t>Exhibit</w:t>
            </w:r>
          </w:p>
        </w:tc>
        <w:tc>
          <w:tcPr>
            <w:tcW w:w="880" w:type="dxa"/>
            <w:vAlign w:val="bottom"/>
          </w:tcPr>
          <w:p>
            <w:pPr>
              <w:ind w:left="200"/>
              <w:spacing w:after="0" w:line="145" w:lineRule="exact"/>
              <w:rPr>
                <w:sz w:val="20"/>
                <w:szCs w:val="20"/>
                <w:color w:val="auto"/>
              </w:rPr>
            </w:pPr>
            <w:r>
              <w:rPr>
                <w:rFonts w:ascii="Arial" w:cs="Arial" w:eastAsia="Arial" w:hAnsi="Arial"/>
                <w:sz w:val="16"/>
                <w:szCs w:val="16"/>
                <w:b w:val="1"/>
                <w:bCs w:val="1"/>
                <w:color w:val="auto"/>
              </w:rPr>
              <w:t>Filing</w:t>
            </w:r>
          </w:p>
        </w:tc>
        <w:tc>
          <w:tcPr>
            <w:tcW w:w="1320" w:type="dxa"/>
            <w:vAlign w:val="bottom"/>
          </w:tcPr>
          <w:p>
            <w:pPr>
              <w:ind w:left="200"/>
              <w:spacing w:after="0" w:line="145" w:lineRule="exact"/>
              <w:rPr>
                <w:sz w:val="20"/>
                <w:szCs w:val="20"/>
                <w:color w:val="auto"/>
              </w:rPr>
            </w:pPr>
            <w:r>
              <w:rPr>
                <w:rFonts w:ascii="Arial" w:cs="Arial" w:eastAsia="Arial" w:hAnsi="Arial"/>
                <w:sz w:val="16"/>
                <w:szCs w:val="16"/>
                <w:b w:val="1"/>
                <w:bCs w:val="1"/>
                <w:color w:val="auto"/>
                <w:w w:val="92"/>
              </w:rPr>
              <w:t>Filed/Furnished</w:t>
            </w:r>
          </w:p>
        </w:tc>
        <w:tc>
          <w:tcPr>
            <w:tcW w:w="0" w:type="dxa"/>
            <w:vAlign w:val="bottom"/>
          </w:tcPr>
          <w:p>
            <w:pPr>
              <w:spacing w:after="0"/>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Arial" w:cs="Arial" w:eastAsia="Arial" w:hAnsi="Arial"/>
                <w:sz w:val="16"/>
                <w:szCs w:val="16"/>
                <w:b w:val="1"/>
                <w:bCs w:val="1"/>
                <w:color w:val="auto"/>
              </w:rPr>
              <w:t>Number</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ind w:left="200"/>
              <w:spacing w:after="0" w:line="179" w:lineRule="exact"/>
              <w:rPr>
                <w:sz w:val="20"/>
                <w:szCs w:val="20"/>
                <w:color w:val="auto"/>
              </w:rPr>
            </w:pPr>
            <w:r>
              <w:rPr>
                <w:rFonts w:ascii="Arial" w:cs="Arial" w:eastAsia="Arial" w:hAnsi="Arial"/>
                <w:sz w:val="16"/>
                <w:szCs w:val="16"/>
                <w:b w:val="1"/>
                <w:bCs w:val="1"/>
                <w:color w:val="auto"/>
              </w:rPr>
              <w:t>Date</w:t>
            </w:r>
          </w:p>
        </w:tc>
        <w:tc>
          <w:tcPr>
            <w:tcW w:w="1320" w:type="dxa"/>
            <w:vAlign w:val="bottom"/>
          </w:tcPr>
          <w:p>
            <w:pPr>
              <w:ind w:left="200"/>
              <w:spacing w:after="0" w:line="179" w:lineRule="exact"/>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72"/>
        </w:trPr>
        <w:tc>
          <w:tcPr>
            <w:tcW w:w="1020" w:type="dxa"/>
            <w:vAlign w:val="bottom"/>
          </w:tcPr>
          <w:p>
            <w:pPr>
              <w:spacing w:after="0" w:line="172" w:lineRule="exact"/>
              <w:rPr>
                <w:sz w:val="20"/>
                <w:szCs w:val="20"/>
                <w:color w:val="auto"/>
              </w:rPr>
            </w:pPr>
            <w:r>
              <w:rPr>
                <w:rFonts w:ascii="Arial" w:cs="Arial" w:eastAsia="Arial" w:hAnsi="Arial"/>
                <w:sz w:val="16"/>
                <w:szCs w:val="16"/>
                <w:color w:val="auto"/>
              </w:rPr>
              <w:t>3.1</w:t>
            </w:r>
          </w:p>
        </w:tc>
        <w:tc>
          <w:tcPr>
            <w:tcW w:w="4040" w:type="dxa"/>
            <w:vAlign w:val="bottom"/>
            <w:gridSpan w:val="16"/>
          </w:tcPr>
          <w:p>
            <w:pPr>
              <w:spacing w:after="0" w:line="172" w:lineRule="exact"/>
              <w:rPr>
                <w:rFonts w:ascii="Arial" w:cs="Arial" w:eastAsia="Arial" w:hAnsi="Arial"/>
                <w:sz w:val="16"/>
                <w:szCs w:val="16"/>
                <w:color w:val="0000FF"/>
                <w:w w:val="95"/>
              </w:rPr>
            </w:pPr>
            <w:hyperlink r:id="rId187">
              <w:r>
                <w:rPr>
                  <w:rFonts w:ascii="Arial" w:cs="Arial" w:eastAsia="Arial" w:hAnsi="Arial"/>
                  <w:sz w:val="16"/>
                  <w:szCs w:val="16"/>
                  <w:color w:val="0000FF"/>
                  <w:w w:val="95"/>
                </w:rPr>
                <w:t>Restated Certificate of Incorporation of Sight Sciences, Inc.</w:t>
              </w:r>
            </w:hyperlink>
          </w:p>
        </w:tc>
        <w:tc>
          <w:tcPr>
            <w:tcW w:w="1060" w:type="dxa"/>
            <w:vAlign w:val="bottom"/>
          </w:tcPr>
          <w:p>
            <w:pPr>
              <w:ind w:left="140"/>
              <w:spacing w:after="0" w:line="172" w:lineRule="exact"/>
              <w:rPr>
                <w:sz w:val="20"/>
                <w:szCs w:val="20"/>
                <w:color w:val="auto"/>
              </w:rPr>
            </w:pPr>
            <w:r>
              <w:rPr>
                <w:rFonts w:ascii="Arial" w:cs="Arial" w:eastAsia="Arial" w:hAnsi="Arial"/>
                <w:sz w:val="16"/>
                <w:szCs w:val="16"/>
                <w:color w:val="auto"/>
              </w:rPr>
              <w:t>8-K</w:t>
            </w:r>
          </w:p>
        </w:tc>
        <w:tc>
          <w:tcPr>
            <w:tcW w:w="1540" w:type="dxa"/>
            <w:vAlign w:val="bottom"/>
          </w:tcPr>
          <w:p>
            <w:pPr>
              <w:ind w:left="540"/>
              <w:spacing w:after="0" w:line="172" w:lineRule="exact"/>
              <w:rPr>
                <w:sz w:val="20"/>
                <w:szCs w:val="20"/>
                <w:color w:val="auto"/>
              </w:rPr>
            </w:pPr>
            <w:r>
              <w:rPr>
                <w:rFonts w:ascii="Arial" w:cs="Arial" w:eastAsia="Arial" w:hAnsi="Arial"/>
                <w:sz w:val="16"/>
                <w:szCs w:val="16"/>
                <w:color w:val="auto"/>
              </w:rPr>
              <w:t>001-40587</w:t>
            </w:r>
          </w:p>
        </w:tc>
        <w:tc>
          <w:tcPr>
            <w:tcW w:w="920" w:type="dxa"/>
            <w:vAlign w:val="bottom"/>
          </w:tcPr>
          <w:p>
            <w:pPr>
              <w:ind w:left="220"/>
              <w:spacing w:after="0" w:line="172" w:lineRule="exact"/>
              <w:rPr>
                <w:sz w:val="20"/>
                <w:szCs w:val="20"/>
                <w:color w:val="auto"/>
              </w:rPr>
            </w:pPr>
            <w:r>
              <w:rPr>
                <w:rFonts w:ascii="Arial" w:cs="Arial" w:eastAsia="Arial" w:hAnsi="Arial"/>
                <w:sz w:val="16"/>
                <w:szCs w:val="16"/>
                <w:color w:val="auto"/>
              </w:rPr>
              <w:t>3.1</w:t>
            </w:r>
          </w:p>
        </w:tc>
        <w:tc>
          <w:tcPr>
            <w:tcW w:w="880" w:type="dxa"/>
            <w:vAlign w:val="bottom"/>
          </w:tcPr>
          <w:p>
            <w:pPr>
              <w:ind w:left="200"/>
              <w:spacing w:after="0" w:line="172" w:lineRule="exact"/>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75" w:lineRule="exact"/>
              <w:rPr>
                <w:sz w:val="20"/>
                <w:szCs w:val="20"/>
                <w:color w:val="auto"/>
              </w:rPr>
            </w:pPr>
            <w:r>
              <w:rPr>
                <w:rFonts w:ascii="Arial" w:cs="Arial" w:eastAsia="Arial" w:hAnsi="Arial"/>
                <w:sz w:val="16"/>
                <w:szCs w:val="16"/>
                <w:color w:val="auto"/>
              </w:rPr>
              <w:t>3.2</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vMerge w:val="restart"/>
          </w:tcPr>
          <w:p>
            <w:pPr>
              <w:ind w:left="140"/>
              <w:spacing w:after="0" w:line="175" w:lineRule="exact"/>
              <w:rPr>
                <w:sz w:val="20"/>
                <w:szCs w:val="20"/>
                <w:color w:val="auto"/>
              </w:rPr>
            </w:pPr>
            <w:r>
              <w:rPr>
                <w:rFonts w:ascii="Arial" w:cs="Arial" w:eastAsia="Arial" w:hAnsi="Arial"/>
                <w:sz w:val="16"/>
                <w:szCs w:val="16"/>
                <w:color w:val="auto"/>
              </w:rPr>
              <w:t>8-K</w:t>
            </w:r>
          </w:p>
        </w:tc>
        <w:tc>
          <w:tcPr>
            <w:tcW w:w="1540" w:type="dxa"/>
            <w:vAlign w:val="bottom"/>
            <w:vMerge w:val="restart"/>
          </w:tcPr>
          <w:p>
            <w:pPr>
              <w:ind w:left="540"/>
              <w:spacing w:after="0" w:line="175" w:lineRule="exact"/>
              <w:rPr>
                <w:sz w:val="20"/>
                <w:szCs w:val="20"/>
                <w:color w:val="auto"/>
              </w:rPr>
            </w:pPr>
            <w:r>
              <w:rPr>
                <w:rFonts w:ascii="Arial" w:cs="Arial" w:eastAsia="Arial" w:hAnsi="Arial"/>
                <w:sz w:val="16"/>
                <w:szCs w:val="16"/>
                <w:color w:val="auto"/>
              </w:rPr>
              <w:t>001-40587</w:t>
            </w:r>
          </w:p>
        </w:tc>
        <w:tc>
          <w:tcPr>
            <w:tcW w:w="920" w:type="dxa"/>
            <w:vAlign w:val="bottom"/>
            <w:vMerge w:val="restart"/>
          </w:tcPr>
          <w:p>
            <w:pPr>
              <w:ind w:left="220"/>
              <w:spacing w:after="0" w:line="175" w:lineRule="exact"/>
              <w:rPr>
                <w:sz w:val="20"/>
                <w:szCs w:val="20"/>
                <w:color w:val="auto"/>
              </w:rPr>
            </w:pPr>
            <w:r>
              <w:rPr>
                <w:rFonts w:ascii="Arial" w:cs="Arial" w:eastAsia="Arial" w:hAnsi="Arial"/>
                <w:sz w:val="16"/>
                <w:szCs w:val="16"/>
                <w:color w:val="auto"/>
              </w:rPr>
              <w:t>3.2</w:t>
            </w:r>
          </w:p>
        </w:tc>
        <w:tc>
          <w:tcPr>
            <w:tcW w:w="880" w:type="dxa"/>
            <w:vAlign w:val="bottom"/>
            <w:vMerge w:val="restart"/>
          </w:tcPr>
          <w:p>
            <w:pPr>
              <w:ind w:left="200"/>
              <w:spacing w:after="0" w:line="175" w:lineRule="exact"/>
              <w:rPr>
                <w:sz w:val="20"/>
                <w:szCs w:val="20"/>
                <w:color w:val="auto"/>
              </w:rPr>
            </w:pPr>
            <w:r>
              <w:rPr>
                <w:rFonts w:ascii="Arial" w:cs="Arial" w:eastAsia="Arial" w:hAnsi="Arial"/>
                <w:sz w:val="16"/>
                <w:szCs w:val="16"/>
                <w:color w:val="auto"/>
              </w:rPr>
              <w:t>7/19/21</w:t>
            </w: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3880" w:type="dxa"/>
            <w:vAlign w:val="bottom"/>
            <w:gridSpan w:val="12"/>
          </w:tcPr>
          <w:p>
            <w:pPr>
              <w:spacing w:after="0" w:line="155" w:lineRule="exact"/>
              <w:rPr>
                <w:rFonts w:ascii="Arial" w:cs="Arial" w:eastAsia="Arial" w:hAnsi="Arial"/>
                <w:sz w:val="16"/>
                <w:szCs w:val="16"/>
                <w:color w:val="0000FF"/>
                <w:w w:val="99"/>
              </w:rPr>
            </w:pPr>
            <w:hyperlink r:id="rId188">
              <w:r>
                <w:rPr>
                  <w:rFonts w:ascii="Arial" w:cs="Arial" w:eastAsia="Arial" w:hAnsi="Arial"/>
                  <w:sz w:val="16"/>
                  <w:szCs w:val="16"/>
                  <w:color w:val="0000FF"/>
                  <w:w w:val="99"/>
                </w:rPr>
                <w:t>Amended and Restated Bylaws of Sight Sciences, Inc.</w:t>
              </w:r>
            </w:hyperlink>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75" w:lineRule="exact"/>
              <w:rPr>
                <w:sz w:val="20"/>
                <w:szCs w:val="20"/>
                <w:color w:val="auto"/>
              </w:rPr>
            </w:pPr>
            <w:r>
              <w:rPr>
                <w:rFonts w:ascii="Arial" w:cs="Arial" w:eastAsia="Arial" w:hAnsi="Arial"/>
                <w:sz w:val="16"/>
                <w:szCs w:val="16"/>
                <w:color w:val="auto"/>
              </w:rPr>
              <w:t>4.1</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vMerge w:val="restart"/>
          </w:tcPr>
          <w:p>
            <w:pPr>
              <w:ind w:left="140"/>
              <w:spacing w:after="0" w:line="175" w:lineRule="exact"/>
              <w:rPr>
                <w:sz w:val="20"/>
                <w:szCs w:val="20"/>
                <w:color w:val="auto"/>
              </w:rPr>
            </w:pPr>
            <w:r>
              <w:rPr>
                <w:rFonts w:ascii="Arial" w:cs="Arial" w:eastAsia="Arial" w:hAnsi="Arial"/>
                <w:sz w:val="16"/>
                <w:szCs w:val="16"/>
                <w:color w:val="auto"/>
              </w:rPr>
              <w:t>S-1/A</w:t>
            </w:r>
          </w:p>
        </w:tc>
        <w:tc>
          <w:tcPr>
            <w:tcW w:w="1540" w:type="dxa"/>
            <w:vAlign w:val="bottom"/>
            <w:vMerge w:val="restart"/>
          </w:tcPr>
          <w:p>
            <w:pPr>
              <w:ind w:left="540"/>
              <w:spacing w:after="0" w:line="175" w:lineRule="exact"/>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line="175" w:lineRule="exact"/>
              <w:rPr>
                <w:sz w:val="20"/>
                <w:szCs w:val="20"/>
                <w:color w:val="auto"/>
              </w:rPr>
            </w:pPr>
            <w:r>
              <w:rPr>
                <w:rFonts w:ascii="Arial" w:cs="Arial" w:eastAsia="Arial" w:hAnsi="Arial"/>
                <w:sz w:val="16"/>
                <w:szCs w:val="16"/>
                <w:color w:val="auto"/>
              </w:rPr>
              <w:t>4.1</w:t>
            </w:r>
          </w:p>
        </w:tc>
        <w:tc>
          <w:tcPr>
            <w:tcW w:w="880" w:type="dxa"/>
            <w:vAlign w:val="bottom"/>
            <w:vMerge w:val="restart"/>
          </w:tcPr>
          <w:p>
            <w:pPr>
              <w:ind w:left="200"/>
              <w:spacing w:after="0" w:line="175" w:lineRule="exact"/>
              <w:rPr>
                <w:sz w:val="20"/>
                <w:szCs w:val="20"/>
                <w:color w:val="auto"/>
              </w:rPr>
            </w:pPr>
            <w:r>
              <w:rPr>
                <w:rFonts w:ascii="Arial" w:cs="Arial" w:eastAsia="Arial" w:hAnsi="Arial"/>
                <w:sz w:val="16"/>
                <w:szCs w:val="16"/>
                <w:color w:val="auto"/>
              </w:rPr>
              <w:t>7/8/21</w:t>
            </w: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vMerge w:val="continue"/>
          </w:tcPr>
          <w:p>
            <w:pPr>
              <w:spacing w:after="0"/>
              <w:rPr>
                <w:sz w:val="13"/>
                <w:szCs w:val="13"/>
                <w:color w:val="auto"/>
              </w:rPr>
            </w:pPr>
          </w:p>
        </w:tc>
        <w:tc>
          <w:tcPr>
            <w:tcW w:w="4040" w:type="dxa"/>
            <w:vAlign w:val="bottom"/>
            <w:gridSpan w:val="16"/>
          </w:tcPr>
          <w:p>
            <w:pPr>
              <w:spacing w:after="0" w:line="155" w:lineRule="exact"/>
              <w:rPr>
                <w:rFonts w:ascii="Arial" w:cs="Arial" w:eastAsia="Arial" w:hAnsi="Arial"/>
                <w:sz w:val="16"/>
                <w:szCs w:val="16"/>
                <w:color w:val="0000FF"/>
                <w:w w:val="95"/>
              </w:rPr>
            </w:pPr>
            <w:hyperlink r:id="rId189">
              <w:r>
                <w:rPr>
                  <w:rFonts w:ascii="Arial" w:cs="Arial" w:eastAsia="Arial" w:hAnsi="Arial"/>
                  <w:sz w:val="16"/>
                  <w:szCs w:val="16"/>
                  <w:color w:val="0000FF"/>
                  <w:w w:val="95"/>
                </w:rPr>
                <w:t>Third Amended and Restated Investors’ Rights Agreement,</w:t>
              </w:r>
            </w:hyperlink>
          </w:p>
        </w:tc>
        <w:tc>
          <w:tcPr>
            <w:tcW w:w="10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4.2</w:t>
            </w:r>
          </w:p>
        </w:tc>
        <w:tc>
          <w:tcPr>
            <w:tcW w:w="39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dated as of November 23, 2020, as amended</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restart"/>
          </w:tcPr>
          <w:p>
            <w:pPr>
              <w:ind w:left="140"/>
              <w:spacing w:after="0"/>
              <w:rPr>
                <w:sz w:val="20"/>
                <w:szCs w:val="20"/>
                <w:color w:val="auto"/>
              </w:rPr>
            </w:pPr>
            <w:r>
              <w:rPr>
                <w:rFonts w:ascii="Arial" w:cs="Arial" w:eastAsia="Arial" w:hAnsi="Arial"/>
                <w:sz w:val="16"/>
                <w:szCs w:val="16"/>
                <w:color w:val="auto"/>
              </w:rPr>
              <w:t>S-1/A</w:t>
            </w:r>
          </w:p>
        </w:tc>
        <w:tc>
          <w:tcPr>
            <w:tcW w:w="1540" w:type="dxa"/>
            <w:vAlign w:val="bottom"/>
            <w:vMerge w:val="restart"/>
          </w:tcPr>
          <w:p>
            <w:pPr>
              <w:ind w:left="54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4.2</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7/8/21</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8"/>
            <w:vMerge w:val="restart"/>
          </w:tcPr>
          <w:p>
            <w:pPr>
              <w:spacing w:after="0" w:line="175" w:lineRule="exact"/>
              <w:rPr>
                <w:rFonts w:ascii="Arial" w:cs="Arial" w:eastAsia="Arial" w:hAnsi="Arial"/>
                <w:sz w:val="16"/>
                <w:szCs w:val="16"/>
                <w:color w:val="0000FF"/>
                <w:w w:val="85"/>
              </w:rPr>
            </w:pPr>
            <w:hyperlink r:id="rId190">
              <w:r>
                <w:rPr>
                  <w:rFonts w:ascii="Arial" w:cs="Arial" w:eastAsia="Arial" w:hAnsi="Arial"/>
                  <w:sz w:val="16"/>
                  <w:szCs w:val="16"/>
                  <w:color w:val="0000FF"/>
                  <w:w w:val="85"/>
                </w:rPr>
                <w:t>shares of common</w:t>
              </w:r>
            </w:hyperlink>
          </w:p>
        </w:tc>
        <w:tc>
          <w:tcPr>
            <w:tcW w:w="106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vMerge w:val="continue"/>
          </w:tcPr>
          <w:p>
            <w:pPr>
              <w:spacing w:after="0"/>
              <w:rPr>
                <w:sz w:val="13"/>
                <w:szCs w:val="13"/>
                <w:color w:val="auto"/>
              </w:rPr>
            </w:pPr>
          </w:p>
        </w:tc>
        <w:tc>
          <w:tcPr>
            <w:tcW w:w="2900" w:type="dxa"/>
            <w:vAlign w:val="bottom"/>
            <w:gridSpan w:val="8"/>
          </w:tcPr>
          <w:p>
            <w:pPr>
              <w:spacing w:after="0" w:line="155" w:lineRule="exact"/>
              <w:rPr>
                <w:rFonts w:ascii="Arial" w:cs="Arial" w:eastAsia="Arial" w:hAnsi="Arial"/>
                <w:sz w:val="16"/>
                <w:szCs w:val="16"/>
                <w:color w:val="0000FF"/>
                <w:w w:val="95"/>
              </w:rPr>
            </w:pPr>
            <w:hyperlink r:id="rId190">
              <w:r>
                <w:rPr>
                  <w:rFonts w:ascii="Arial" w:cs="Arial" w:eastAsia="Arial" w:hAnsi="Arial"/>
                  <w:sz w:val="16"/>
                  <w:szCs w:val="16"/>
                  <w:color w:val="0000FF"/>
                  <w:w w:val="95"/>
                </w:rPr>
                <w:t>Specimen Stock Certificate evidencing the</w:t>
              </w:r>
            </w:hyperlink>
          </w:p>
        </w:tc>
        <w:tc>
          <w:tcPr>
            <w:tcW w:w="1140" w:type="dxa"/>
            <w:vAlign w:val="bottom"/>
            <w:gridSpan w:val="8"/>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4.3</w:t>
            </w:r>
          </w:p>
        </w:tc>
        <w:tc>
          <w:tcPr>
            <w:tcW w:w="40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stock</w:t>
              </w:r>
            </w:hyperlink>
          </w:p>
        </w:tc>
        <w:tc>
          <w:tcPr>
            <w:tcW w:w="1060" w:type="dxa"/>
            <w:vAlign w:val="bottom"/>
            <w:vMerge w:val="restart"/>
          </w:tcPr>
          <w:p>
            <w:pPr>
              <w:ind w:left="140"/>
              <w:spacing w:after="0"/>
              <w:rPr>
                <w:sz w:val="20"/>
                <w:szCs w:val="20"/>
                <w:color w:val="auto"/>
              </w:rPr>
            </w:pPr>
            <w:r>
              <w:rPr>
                <w:rFonts w:ascii="Arial" w:cs="Arial" w:eastAsia="Arial" w:hAnsi="Arial"/>
                <w:sz w:val="16"/>
                <w:szCs w:val="16"/>
                <w:color w:val="auto"/>
              </w:rPr>
              <w:t>S-1</w:t>
            </w:r>
          </w:p>
        </w:tc>
        <w:tc>
          <w:tcPr>
            <w:tcW w:w="1540" w:type="dxa"/>
            <w:vAlign w:val="bottom"/>
            <w:vMerge w:val="restart"/>
          </w:tcPr>
          <w:p>
            <w:pPr>
              <w:ind w:left="540"/>
              <w:spacing w:after="0"/>
              <w:rPr>
                <w:sz w:val="20"/>
                <w:szCs w:val="20"/>
                <w:color w:val="auto"/>
              </w:rPr>
            </w:pPr>
            <w:r>
              <w:rPr>
                <w:rFonts w:ascii="Arial" w:cs="Arial" w:eastAsia="Arial" w:hAnsi="Arial"/>
                <w:sz w:val="16"/>
                <w:szCs w:val="16"/>
                <w:color w:val="auto"/>
              </w:rPr>
              <w:t>333-257320</w:t>
            </w:r>
          </w:p>
        </w:tc>
        <w:tc>
          <w:tcPr>
            <w:tcW w:w="920" w:type="dxa"/>
            <w:vAlign w:val="bottom"/>
            <w:vMerge w:val="restart"/>
          </w:tcPr>
          <w:p>
            <w:pPr>
              <w:ind w:left="220"/>
              <w:spacing w:after="0"/>
              <w:rPr>
                <w:sz w:val="20"/>
                <w:szCs w:val="20"/>
                <w:color w:val="auto"/>
              </w:rPr>
            </w:pPr>
            <w:r>
              <w:rPr>
                <w:rFonts w:ascii="Arial" w:cs="Arial" w:eastAsia="Arial" w:hAnsi="Arial"/>
                <w:sz w:val="16"/>
                <w:szCs w:val="16"/>
                <w:color w:val="auto"/>
              </w:rPr>
              <w:t>4.3</w:t>
            </w:r>
          </w:p>
        </w:tc>
        <w:tc>
          <w:tcPr>
            <w:tcW w:w="880" w:type="dxa"/>
            <w:vAlign w:val="bottom"/>
            <w:vMerge w:val="restart"/>
          </w:tcPr>
          <w:p>
            <w:pPr>
              <w:ind w:left="200"/>
              <w:spacing w:after="0"/>
              <w:rPr>
                <w:sz w:val="20"/>
                <w:szCs w:val="20"/>
                <w:color w:val="auto"/>
              </w:rPr>
            </w:pPr>
            <w:r>
              <w:rPr>
                <w:rFonts w:ascii="Arial" w:cs="Arial" w:eastAsia="Arial" w:hAnsi="Arial"/>
                <w:sz w:val="16"/>
                <w:szCs w:val="16"/>
                <w:color w:val="auto"/>
              </w:rPr>
              <w:t>6/23/21</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3700" w:type="dxa"/>
            <w:vAlign w:val="bottom"/>
            <w:gridSpan w:val="15"/>
            <w:vMerge w:val="restart"/>
          </w:tcPr>
          <w:p>
            <w:pPr>
              <w:ind w:left="60"/>
              <w:spacing w:after="0" w:line="175" w:lineRule="exact"/>
              <w:rPr>
                <w:rFonts w:ascii="Arial" w:cs="Arial" w:eastAsia="Arial" w:hAnsi="Arial"/>
                <w:sz w:val="16"/>
                <w:szCs w:val="16"/>
                <w:color w:val="0000FF"/>
              </w:rPr>
            </w:pPr>
            <w:hyperlink r:id="rId191">
              <w:r>
                <w:rPr>
                  <w:rFonts w:ascii="Arial" w:cs="Arial" w:eastAsia="Arial" w:hAnsi="Arial"/>
                  <w:sz w:val="16"/>
                  <w:szCs w:val="16"/>
                  <w:color w:val="0000FF"/>
                </w:rPr>
                <w:t>of Warrant to Purchase Stock</w:t>
              </w:r>
            </w:hyperlink>
          </w:p>
        </w:tc>
        <w:tc>
          <w:tcPr>
            <w:tcW w:w="106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vMerge w:val="continue"/>
          </w:tcPr>
          <w:p>
            <w:pPr>
              <w:spacing w:after="0"/>
              <w:rPr>
                <w:sz w:val="13"/>
                <w:szCs w:val="13"/>
                <w:color w:val="auto"/>
              </w:rPr>
            </w:pPr>
          </w:p>
        </w:tc>
        <w:tc>
          <w:tcPr>
            <w:tcW w:w="340" w:type="dxa"/>
            <w:vAlign w:val="bottom"/>
          </w:tcPr>
          <w:p>
            <w:pPr>
              <w:spacing w:after="0" w:line="155" w:lineRule="exact"/>
              <w:rPr>
                <w:rFonts w:ascii="Arial" w:cs="Arial" w:eastAsia="Arial" w:hAnsi="Arial"/>
                <w:sz w:val="16"/>
                <w:szCs w:val="16"/>
                <w:color w:val="0000FF"/>
                <w:w w:val="85"/>
              </w:rPr>
            </w:pPr>
            <w:hyperlink r:id="rId191">
              <w:r>
                <w:rPr>
                  <w:rFonts w:ascii="Arial" w:cs="Arial" w:eastAsia="Arial" w:hAnsi="Arial"/>
                  <w:sz w:val="16"/>
                  <w:szCs w:val="16"/>
                  <w:color w:val="0000FF"/>
                  <w:w w:val="85"/>
                </w:rPr>
                <w:t>Form</w:t>
              </w:r>
            </w:hyperlink>
          </w:p>
        </w:tc>
        <w:tc>
          <w:tcPr>
            <w:tcW w:w="3700" w:type="dxa"/>
            <w:vAlign w:val="bottom"/>
            <w:gridSpan w:val="15"/>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75" w:lineRule="exact"/>
              <w:rPr>
                <w:sz w:val="20"/>
                <w:szCs w:val="20"/>
                <w:color w:val="auto"/>
              </w:rPr>
            </w:pPr>
            <w:r>
              <w:rPr>
                <w:rFonts w:ascii="Arial" w:cs="Arial" w:eastAsia="Arial" w:hAnsi="Arial"/>
                <w:sz w:val="16"/>
                <w:szCs w:val="16"/>
                <w:color w:val="auto"/>
              </w:rPr>
              <w:t>10.1</w:t>
            </w:r>
          </w:p>
        </w:tc>
        <w:tc>
          <w:tcPr>
            <w:tcW w:w="13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40" w:type="dxa"/>
            <w:vAlign w:val="bottom"/>
            <w:gridSpan w:val="9"/>
            <w:vMerge w:val="restart"/>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Sub-plan and Forms of</w:t>
              </w:r>
            </w:hyperlink>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restart"/>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2300" w:type="dxa"/>
            <w:vAlign w:val="bottom"/>
            <w:gridSpan w:val="7"/>
          </w:tcPr>
          <w:p>
            <w:pPr>
              <w:spacing w:after="0" w:line="155" w:lineRule="exact"/>
              <w:rPr>
                <w:rFonts w:ascii="Arial" w:cs="Arial" w:eastAsia="Arial" w:hAnsi="Arial"/>
                <w:sz w:val="16"/>
                <w:szCs w:val="16"/>
                <w:color w:val="0000FF"/>
                <w:w w:val="96"/>
              </w:rPr>
            </w:pPr>
            <w:hyperlink w:anchor="page34">
              <w:r>
                <w:rPr>
                  <w:rFonts w:ascii="Arial" w:cs="Arial" w:eastAsia="Arial" w:hAnsi="Arial"/>
                  <w:sz w:val="16"/>
                  <w:szCs w:val="16"/>
                  <w:color w:val="0000FF"/>
                  <w:w w:val="96"/>
                </w:rPr>
                <w:t>2021 Incentive Award Plan - U.K.</w:t>
              </w:r>
            </w:hyperlink>
          </w:p>
        </w:tc>
        <w:tc>
          <w:tcPr>
            <w:tcW w:w="1740" w:type="dxa"/>
            <w:vAlign w:val="bottom"/>
            <w:gridSpan w:val="9"/>
            <w:vMerge w:val="continue"/>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15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Agreements Thereunder</w:t>
              </w:r>
            </w:hyperlink>
          </w:p>
        </w:tc>
        <w:tc>
          <w:tcPr>
            <w:tcW w:w="20" w:type="dxa"/>
            <w:vAlign w:val="bottom"/>
            <w:tcBorders>
              <w:top w:val="single" w:sz="8" w:color="0000FF"/>
              <w:bottom w:val="single" w:sz="8" w:color="0000EE"/>
            </w:tcBorders>
          </w:tcPr>
          <w:p>
            <w:pPr>
              <w:spacing w:after="0"/>
              <w:rPr>
                <w:sz w:val="12"/>
                <w:szCs w:val="12"/>
                <w:color w:val="auto"/>
              </w:rPr>
            </w:pPr>
          </w:p>
        </w:tc>
        <w:tc>
          <w:tcPr>
            <w:tcW w:w="218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600" w:type="dxa"/>
            <w:vAlign w:val="bottom"/>
            <w:gridSpan w:val="6"/>
          </w:tcPr>
          <w:p>
            <w:pPr>
              <w:spacing w:after="0" w:line="155" w:lineRule="exact"/>
              <w:rPr>
                <w:rFonts w:ascii="Arial" w:cs="Arial" w:eastAsia="Arial" w:hAnsi="Arial"/>
                <w:sz w:val="16"/>
                <w:szCs w:val="16"/>
                <w:color w:val="0000FF"/>
                <w:w w:val="92"/>
              </w:rPr>
            </w:pPr>
            <w:hyperlink w:anchor="page47">
              <w:r>
                <w:rPr>
                  <w:rFonts w:ascii="Arial" w:cs="Arial" w:eastAsia="Arial" w:hAnsi="Arial"/>
                  <w:sz w:val="16"/>
                  <w:szCs w:val="16"/>
                  <w:color w:val="0000FF"/>
                  <w:w w:val="92"/>
                </w:rPr>
                <w:t>Certification of the Chief</w:t>
              </w:r>
            </w:hyperlink>
          </w:p>
        </w:tc>
        <w:tc>
          <w:tcPr>
            <w:tcW w:w="2440" w:type="dxa"/>
            <w:vAlign w:val="bottom"/>
            <w:gridSpan w:val="10"/>
          </w:tcPr>
          <w:p>
            <w:pPr>
              <w:ind w:left="80"/>
              <w:spacing w:after="0" w:line="155" w:lineRule="exact"/>
              <w:rPr>
                <w:rFonts w:ascii="Arial" w:cs="Arial" w:eastAsia="Arial" w:hAnsi="Arial"/>
                <w:sz w:val="16"/>
                <w:szCs w:val="16"/>
                <w:color w:val="0000FF"/>
                <w:w w:val="96"/>
              </w:rPr>
            </w:pPr>
            <w:hyperlink w:anchor="page47">
              <w:r>
                <w:rPr>
                  <w:rFonts w:ascii="Arial" w:cs="Arial" w:eastAsia="Arial" w:hAnsi="Arial"/>
                  <w:sz w:val="16"/>
                  <w:szCs w:val="16"/>
                  <w:color w:val="0000FF"/>
                  <w:w w:val="96"/>
                </w:rPr>
                <w:t>Executive Officer pursuant to Rule</w:t>
              </w:r>
            </w:hyperlink>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39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47">
              <w:r>
                <w:rPr>
                  <w:rFonts w:ascii="Arial" w:cs="Arial" w:eastAsia="Arial" w:hAnsi="Arial"/>
                  <w:sz w:val="16"/>
                  <w:szCs w:val="16"/>
                  <w:color w:val="0000FF"/>
                </w:rPr>
                <w:t>13a-14(a)/15d-14(a)</w:t>
              </w:r>
            </w:hyperlink>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3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700" w:type="dxa"/>
            <w:vAlign w:val="bottom"/>
            <w:gridSpan w:val="14"/>
            <w:vMerge w:val="restart"/>
          </w:tcPr>
          <w:p>
            <w:pPr>
              <w:spacing w:after="0" w:line="175" w:lineRule="exact"/>
              <w:rPr>
                <w:rFonts w:ascii="Arial" w:cs="Arial" w:eastAsia="Arial" w:hAnsi="Arial"/>
                <w:sz w:val="16"/>
                <w:szCs w:val="16"/>
                <w:color w:val="0000FF"/>
                <w:w w:val="95"/>
              </w:rPr>
            </w:pPr>
            <w:hyperlink w:anchor="page49">
              <w:r>
                <w:rPr>
                  <w:rFonts w:ascii="Arial" w:cs="Arial" w:eastAsia="Arial" w:hAnsi="Arial"/>
                  <w:sz w:val="16"/>
                  <w:szCs w:val="16"/>
                  <w:color w:val="0000FF"/>
                  <w:w w:val="95"/>
                </w:rPr>
                <w:t>Chief Financial Officer pursuant to Rule</w:t>
              </w:r>
            </w:hyperlink>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340" w:type="dxa"/>
            <w:vAlign w:val="bottom"/>
            <w:gridSpan w:val="2"/>
          </w:tcPr>
          <w:p>
            <w:pPr>
              <w:spacing w:after="0" w:line="155" w:lineRule="exact"/>
              <w:rPr>
                <w:rFonts w:ascii="Arial" w:cs="Arial" w:eastAsia="Arial" w:hAnsi="Arial"/>
                <w:sz w:val="16"/>
                <w:szCs w:val="16"/>
                <w:color w:val="0000FF"/>
              </w:rPr>
            </w:pPr>
            <w:hyperlink w:anchor="page49">
              <w:r>
                <w:rPr>
                  <w:rFonts w:ascii="Arial" w:cs="Arial" w:eastAsia="Arial" w:hAnsi="Arial"/>
                  <w:sz w:val="16"/>
                  <w:szCs w:val="16"/>
                  <w:color w:val="0000FF"/>
                </w:rPr>
                <w:t>Certification of the</w:t>
              </w:r>
            </w:hyperlink>
          </w:p>
        </w:tc>
        <w:tc>
          <w:tcPr>
            <w:tcW w:w="2700" w:type="dxa"/>
            <w:vAlign w:val="bottom"/>
            <w:gridSpan w:val="14"/>
            <w:vMerge w:val="continue"/>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39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49">
              <w:r>
                <w:rPr>
                  <w:rFonts w:ascii="Arial" w:cs="Arial" w:eastAsia="Arial" w:hAnsi="Arial"/>
                  <w:sz w:val="16"/>
                  <w:szCs w:val="16"/>
                  <w:color w:val="0000FF"/>
                </w:rPr>
                <w:t>13a-14(a)/15d-14(a)</w:t>
              </w:r>
            </w:hyperlink>
          </w:p>
        </w:tc>
        <w:tc>
          <w:tcPr>
            <w:tcW w:w="100" w:type="dxa"/>
            <w:vAlign w:val="bottom"/>
            <w:gridSpan w:val="2"/>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3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700" w:type="dxa"/>
            <w:vAlign w:val="bottom"/>
            <w:gridSpan w:val="14"/>
            <w:vMerge w:val="restart"/>
          </w:tcPr>
          <w:p>
            <w:pPr>
              <w:spacing w:after="0" w:line="175" w:lineRule="exact"/>
              <w:rPr>
                <w:rFonts w:ascii="Arial" w:cs="Arial" w:eastAsia="Arial" w:hAnsi="Arial"/>
                <w:sz w:val="16"/>
                <w:szCs w:val="16"/>
                <w:color w:val="0000FF"/>
                <w:w w:val="99"/>
              </w:rPr>
            </w:pPr>
            <w:hyperlink w:anchor="page50">
              <w:r>
                <w:rPr>
                  <w:rFonts w:ascii="Arial" w:cs="Arial" w:eastAsia="Arial" w:hAnsi="Arial"/>
                  <w:sz w:val="16"/>
                  <w:szCs w:val="16"/>
                  <w:color w:val="0000FF"/>
                  <w:w w:val="99"/>
                </w:rPr>
                <w:t>Chief Executive Officer pursuant to 18</w:t>
              </w:r>
            </w:hyperlink>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340" w:type="dxa"/>
            <w:vAlign w:val="bottom"/>
            <w:gridSpan w:val="2"/>
          </w:tcPr>
          <w:p>
            <w:pPr>
              <w:spacing w:after="0" w:line="155" w:lineRule="exact"/>
              <w:rPr>
                <w:rFonts w:ascii="Arial" w:cs="Arial" w:eastAsia="Arial" w:hAnsi="Arial"/>
                <w:sz w:val="16"/>
                <w:szCs w:val="16"/>
                <w:color w:val="0000FF"/>
              </w:rPr>
            </w:pPr>
            <w:hyperlink w:anchor="page50">
              <w:r>
                <w:rPr>
                  <w:rFonts w:ascii="Arial" w:cs="Arial" w:eastAsia="Arial" w:hAnsi="Arial"/>
                  <w:sz w:val="16"/>
                  <w:szCs w:val="16"/>
                  <w:color w:val="0000FF"/>
                </w:rPr>
                <w:t>Certification of the</w:t>
              </w:r>
            </w:hyperlink>
          </w:p>
        </w:tc>
        <w:tc>
          <w:tcPr>
            <w:tcW w:w="2700" w:type="dxa"/>
            <w:vAlign w:val="bottom"/>
            <w:gridSpan w:val="14"/>
            <w:vMerge w:val="continue"/>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13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2"/>
              </w:rPr>
            </w:pPr>
            <w:hyperlink w:anchor="page50">
              <w:r>
                <w:rPr>
                  <w:rFonts w:ascii="Arial" w:cs="Arial" w:eastAsia="Arial" w:hAnsi="Arial"/>
                  <w:sz w:val="16"/>
                  <w:szCs w:val="16"/>
                  <w:color w:val="0000FF"/>
                  <w:w w:val="92"/>
                </w:rPr>
                <w:t>U.S.C Section 1350</w:t>
              </w:r>
            </w:hyperlink>
          </w:p>
        </w:tc>
        <w:tc>
          <w:tcPr>
            <w:tcW w:w="2540" w:type="dxa"/>
            <w:vAlign w:val="bottom"/>
            <w:tcBorders>
              <w:top w:val="single" w:sz="8" w:color="0000FF"/>
            </w:tcBorders>
            <w:gridSpan w:val="10"/>
          </w:tcPr>
          <w:p>
            <w:pPr>
              <w:spacing w:after="0"/>
              <w:rPr>
                <w:sz w:val="12"/>
                <w:szCs w:val="12"/>
                <w:color w:val="auto"/>
              </w:rPr>
            </w:pPr>
          </w:p>
        </w:tc>
        <w:tc>
          <w:tcPr>
            <w:tcW w:w="160" w:type="dxa"/>
            <w:vAlign w:val="bottom"/>
            <w:gridSpan w:val="4"/>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1340" w:type="dxa"/>
            <w:vAlign w:val="bottom"/>
            <w:gridSpan w:val="2"/>
          </w:tcPr>
          <w:p>
            <w:pPr>
              <w:spacing w:after="0" w:line="155" w:lineRule="exact"/>
              <w:rPr>
                <w:rFonts w:ascii="Arial" w:cs="Arial" w:eastAsia="Arial" w:hAnsi="Arial"/>
                <w:sz w:val="16"/>
                <w:szCs w:val="16"/>
                <w:color w:val="0000FF"/>
              </w:rPr>
            </w:pPr>
            <w:hyperlink w:anchor="page51">
              <w:r>
                <w:rPr>
                  <w:rFonts w:ascii="Arial" w:cs="Arial" w:eastAsia="Arial" w:hAnsi="Arial"/>
                  <w:sz w:val="16"/>
                  <w:szCs w:val="16"/>
                  <w:color w:val="0000FF"/>
                </w:rPr>
                <w:t>Certification of the</w:t>
              </w:r>
            </w:hyperlink>
          </w:p>
        </w:tc>
        <w:tc>
          <w:tcPr>
            <w:tcW w:w="2700" w:type="dxa"/>
            <w:vAlign w:val="bottom"/>
            <w:gridSpan w:val="14"/>
          </w:tcPr>
          <w:p>
            <w:pPr>
              <w:spacing w:after="0" w:line="155" w:lineRule="exact"/>
              <w:rPr>
                <w:rFonts w:ascii="Arial" w:cs="Arial" w:eastAsia="Arial" w:hAnsi="Arial"/>
                <w:sz w:val="16"/>
                <w:szCs w:val="16"/>
                <w:color w:val="0000FF"/>
              </w:rPr>
            </w:pPr>
            <w:hyperlink w:anchor="page51">
              <w:r>
                <w:rPr>
                  <w:rFonts w:ascii="Arial" w:cs="Arial" w:eastAsia="Arial" w:hAnsi="Arial"/>
                  <w:sz w:val="16"/>
                  <w:szCs w:val="16"/>
                  <w:color w:val="0000FF"/>
                </w:rPr>
                <w:t>Chief Financial Officer pursuant to 18</w:t>
              </w:r>
            </w:hyperlink>
          </w:p>
        </w:tc>
        <w:tc>
          <w:tcPr>
            <w:tcW w:w="1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13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2"/>
              </w:rPr>
            </w:pPr>
            <w:hyperlink w:anchor="page51">
              <w:r>
                <w:rPr>
                  <w:rFonts w:ascii="Arial" w:cs="Arial" w:eastAsia="Arial" w:hAnsi="Arial"/>
                  <w:sz w:val="16"/>
                  <w:szCs w:val="16"/>
                  <w:color w:val="0000FF"/>
                  <w:w w:val="92"/>
                </w:rPr>
                <w:t>U.S.C. Section 1350</w:t>
              </w:r>
            </w:hyperlink>
          </w:p>
        </w:tc>
        <w:tc>
          <w:tcPr>
            <w:tcW w:w="20" w:type="dxa"/>
            <w:vAlign w:val="bottom"/>
            <w:tcBorders>
              <w:top w:val="single" w:sz="8" w:color="0000FF"/>
              <w:bottom w:val="single" w:sz="8" w:color="0000EE"/>
            </w:tcBorders>
          </w:tcPr>
          <w:p>
            <w:pPr>
              <w:spacing w:after="0"/>
              <w:rPr>
                <w:sz w:val="12"/>
                <w:szCs w:val="12"/>
                <w:color w:val="auto"/>
              </w:rPr>
            </w:pPr>
          </w:p>
        </w:tc>
        <w:tc>
          <w:tcPr>
            <w:tcW w:w="2420" w:type="dxa"/>
            <w:vAlign w:val="bottom"/>
            <w:tcBorders>
              <w:top w:val="single" w:sz="8" w:color="0000FF"/>
            </w:tcBorders>
            <w:gridSpan w:val="7"/>
          </w:tcPr>
          <w:p>
            <w:pPr>
              <w:spacing w:after="0"/>
              <w:rPr>
                <w:sz w:val="12"/>
                <w:szCs w:val="12"/>
                <w:color w:val="auto"/>
              </w:rPr>
            </w:pPr>
          </w:p>
        </w:tc>
        <w:tc>
          <w:tcPr>
            <w:tcW w:w="240" w:type="dxa"/>
            <w:vAlign w:val="bottom"/>
            <w:gridSpan w:val="5"/>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vMerge w:val="restart"/>
          </w:tcPr>
          <w:p>
            <w:pPr>
              <w:jc w:val="center"/>
              <w:ind w:left="5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6"/>
        </w:trPr>
        <w:tc>
          <w:tcPr>
            <w:tcW w:w="1020" w:type="dxa"/>
            <w:vAlign w:val="bottom"/>
            <w:vMerge w:val="continue"/>
          </w:tcPr>
          <w:p>
            <w:pPr>
              <w:spacing w:after="0"/>
              <w:rPr>
                <w:sz w:val="12"/>
                <w:szCs w:val="12"/>
                <w:color w:val="auto"/>
              </w:rPr>
            </w:pPr>
          </w:p>
        </w:tc>
        <w:tc>
          <w:tcPr>
            <w:tcW w:w="1380" w:type="dxa"/>
            <w:vAlign w:val="bottom"/>
            <w:gridSpan w:val="4"/>
          </w:tcPr>
          <w:p>
            <w:pPr>
              <w:spacing w:after="0" w:line="146" w:lineRule="exact"/>
              <w:rPr>
                <w:sz w:val="20"/>
                <w:szCs w:val="20"/>
                <w:color w:val="auto"/>
              </w:rPr>
            </w:pPr>
            <w:r>
              <w:rPr>
                <w:rFonts w:ascii="Arial" w:cs="Arial" w:eastAsia="Arial" w:hAnsi="Arial"/>
                <w:sz w:val="16"/>
                <w:szCs w:val="16"/>
                <w:color w:val="auto"/>
                <w:w w:val="90"/>
              </w:rPr>
              <w:t>Inline XBRL Instance</w:t>
            </w:r>
          </w:p>
        </w:tc>
        <w:tc>
          <w:tcPr>
            <w:tcW w:w="2660" w:type="dxa"/>
            <w:vAlign w:val="bottom"/>
            <w:gridSpan w:val="12"/>
          </w:tcPr>
          <w:p>
            <w:pPr>
              <w:ind w:left="100"/>
              <w:spacing w:after="0" w:line="146" w:lineRule="exact"/>
              <w:rPr>
                <w:sz w:val="20"/>
                <w:szCs w:val="20"/>
                <w:color w:val="auto"/>
              </w:rPr>
            </w:pPr>
            <w:r>
              <w:rPr>
                <w:rFonts w:ascii="Arial" w:cs="Arial" w:eastAsia="Arial" w:hAnsi="Arial"/>
                <w:sz w:val="16"/>
                <w:szCs w:val="16"/>
                <w:color w:val="auto"/>
              </w:rPr>
              <w:t>Document - the instance document</w:t>
            </w: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4040" w:type="dxa"/>
            <w:vAlign w:val="bottom"/>
            <w:gridSpan w:val="16"/>
          </w:tcPr>
          <w:p>
            <w:pPr>
              <w:spacing w:after="0" w:line="162" w:lineRule="exact"/>
              <w:rPr>
                <w:sz w:val="20"/>
                <w:szCs w:val="20"/>
                <w:color w:val="auto"/>
              </w:rPr>
            </w:pPr>
            <w:r>
              <w:rPr>
                <w:rFonts w:ascii="Arial" w:cs="Arial" w:eastAsia="Arial" w:hAnsi="Arial"/>
                <w:sz w:val="16"/>
                <w:szCs w:val="16"/>
                <w:color w:val="auto"/>
                <w:w w:val="91"/>
              </w:rPr>
              <w:t>does not appear in the Interactive Data File because its XBRL</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tags are embedded within the Inline XBRL document</w:t>
            </w: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5" w:lineRule="exact"/>
              <w:rPr>
                <w:sz w:val="20"/>
                <w:szCs w:val="20"/>
                <w:color w:val="auto"/>
              </w:rPr>
            </w:pPr>
            <w:r>
              <w:rPr>
                <w:rFonts w:ascii="Arial" w:cs="Arial" w:eastAsia="Arial" w:hAnsi="Arial"/>
                <w:sz w:val="16"/>
                <w:szCs w:val="16"/>
                <w:color w:val="auto"/>
              </w:rPr>
              <w:t>101.SCH</w:t>
            </w: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Inline XBRL Taxonomy Extension Schema Document</w:t>
            </w: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jc w:val="center"/>
              <w:ind w:left="5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020" w:type="dxa"/>
            <w:vAlign w:val="bottom"/>
          </w:tcPr>
          <w:p>
            <w:pPr>
              <w:spacing w:after="0" w:line="162" w:lineRule="exact"/>
              <w:rPr>
                <w:sz w:val="20"/>
                <w:szCs w:val="20"/>
                <w:color w:val="auto"/>
              </w:rPr>
            </w:pPr>
            <w:r>
              <w:rPr>
                <w:rFonts w:ascii="Arial" w:cs="Arial" w:eastAsia="Arial" w:hAnsi="Arial"/>
                <w:sz w:val="16"/>
                <w:szCs w:val="16"/>
                <w:color w:val="auto"/>
              </w:rPr>
              <w:t>101.CAL</w:t>
            </w:r>
          </w:p>
        </w:tc>
        <w:tc>
          <w:tcPr>
            <w:tcW w:w="4040" w:type="dxa"/>
            <w:vAlign w:val="bottom"/>
            <w:gridSpan w:val="16"/>
          </w:tcPr>
          <w:p>
            <w:pPr>
              <w:spacing w:after="0" w:line="162" w:lineRule="exact"/>
              <w:rPr>
                <w:sz w:val="20"/>
                <w:szCs w:val="20"/>
                <w:color w:val="auto"/>
              </w:rPr>
            </w:pPr>
            <w:r>
              <w:rPr>
                <w:rFonts w:ascii="Arial" w:cs="Arial" w:eastAsia="Arial" w:hAnsi="Arial"/>
                <w:sz w:val="16"/>
                <w:szCs w:val="16"/>
                <w:color w:val="auto"/>
              </w:rPr>
              <w:t>Inline XBRL Taxonomy Extension Calculation Linkbase</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center"/>
              <w:ind w:left="55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line="162" w:lineRule="exact"/>
              <w:rPr>
                <w:sz w:val="20"/>
                <w:szCs w:val="20"/>
                <w:color w:val="auto"/>
              </w:rPr>
            </w:pPr>
            <w:r>
              <w:rPr>
                <w:rFonts w:ascii="Arial" w:cs="Arial" w:eastAsia="Arial" w:hAnsi="Arial"/>
                <w:sz w:val="16"/>
                <w:szCs w:val="16"/>
                <w:color w:val="auto"/>
              </w:rPr>
              <w:t>101.DEF</w:t>
            </w:r>
          </w:p>
        </w:tc>
        <w:tc>
          <w:tcPr>
            <w:tcW w:w="4040" w:type="dxa"/>
            <w:vAlign w:val="bottom"/>
            <w:gridSpan w:val="16"/>
          </w:tcPr>
          <w:p>
            <w:pPr>
              <w:spacing w:after="0" w:line="162" w:lineRule="exact"/>
              <w:rPr>
                <w:sz w:val="20"/>
                <w:szCs w:val="20"/>
                <w:color w:val="auto"/>
              </w:rPr>
            </w:pPr>
            <w:r>
              <w:rPr>
                <w:rFonts w:ascii="Arial" w:cs="Arial" w:eastAsia="Arial" w:hAnsi="Arial"/>
                <w:sz w:val="16"/>
                <w:szCs w:val="16"/>
                <w:color w:val="auto"/>
              </w:rPr>
              <w:t>Inline XBRL Taxonomy Extension Definition Linkbase</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center"/>
              <w:ind w:left="55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line="162" w:lineRule="exact"/>
              <w:rPr>
                <w:sz w:val="20"/>
                <w:szCs w:val="20"/>
                <w:color w:val="auto"/>
              </w:rPr>
            </w:pPr>
            <w:r>
              <w:rPr>
                <w:rFonts w:ascii="Arial" w:cs="Arial" w:eastAsia="Arial" w:hAnsi="Arial"/>
                <w:sz w:val="16"/>
                <w:szCs w:val="16"/>
                <w:color w:val="auto"/>
              </w:rPr>
              <w:t>101.LAB</w:t>
            </w:r>
          </w:p>
        </w:tc>
        <w:tc>
          <w:tcPr>
            <w:tcW w:w="4040" w:type="dxa"/>
            <w:vAlign w:val="bottom"/>
            <w:gridSpan w:val="16"/>
          </w:tcPr>
          <w:p>
            <w:pPr>
              <w:spacing w:after="0" w:line="162" w:lineRule="exact"/>
              <w:rPr>
                <w:sz w:val="20"/>
                <w:szCs w:val="20"/>
                <w:color w:val="auto"/>
              </w:rPr>
            </w:pPr>
            <w:r>
              <w:rPr>
                <w:rFonts w:ascii="Arial" w:cs="Arial" w:eastAsia="Arial" w:hAnsi="Arial"/>
                <w:sz w:val="16"/>
                <w:szCs w:val="16"/>
                <w:color w:val="auto"/>
              </w:rPr>
              <w:t>Inline XBRL Taxonomy Extension Label Linkbase</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center"/>
              <w:ind w:left="55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line="162" w:lineRule="exact"/>
              <w:rPr>
                <w:sz w:val="20"/>
                <w:szCs w:val="20"/>
                <w:color w:val="auto"/>
              </w:rPr>
            </w:pPr>
            <w:r>
              <w:rPr>
                <w:rFonts w:ascii="Arial" w:cs="Arial" w:eastAsia="Arial" w:hAnsi="Arial"/>
                <w:sz w:val="16"/>
                <w:szCs w:val="16"/>
                <w:color w:val="auto"/>
              </w:rPr>
              <w:t>101.PRE</w:t>
            </w:r>
          </w:p>
        </w:tc>
        <w:tc>
          <w:tcPr>
            <w:tcW w:w="4040" w:type="dxa"/>
            <w:vAlign w:val="bottom"/>
            <w:gridSpan w:val="16"/>
          </w:tcPr>
          <w:p>
            <w:pPr>
              <w:spacing w:after="0" w:line="162" w:lineRule="exact"/>
              <w:rPr>
                <w:sz w:val="20"/>
                <w:szCs w:val="20"/>
                <w:color w:val="auto"/>
              </w:rPr>
            </w:pPr>
            <w:r>
              <w:rPr>
                <w:rFonts w:ascii="Arial" w:cs="Arial" w:eastAsia="Arial" w:hAnsi="Arial"/>
                <w:sz w:val="16"/>
                <w:szCs w:val="16"/>
                <w:color w:val="auto"/>
              </w:rPr>
              <w:t>Inline XBRL Taxonomy Extension Presentation Linkbase</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center"/>
              <w:ind w:left="55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4040" w:type="dxa"/>
            <w:vAlign w:val="bottom"/>
            <w:gridSpan w:val="16"/>
          </w:tcPr>
          <w:p>
            <w:pPr>
              <w:spacing w:after="0" w:line="175" w:lineRule="exact"/>
              <w:rPr>
                <w:sz w:val="20"/>
                <w:szCs w:val="20"/>
                <w:color w:val="auto"/>
              </w:rPr>
            </w:pPr>
            <w:r>
              <w:rPr>
                <w:rFonts w:ascii="Arial" w:cs="Arial" w:eastAsia="Arial" w:hAnsi="Arial"/>
                <w:sz w:val="16"/>
                <w:szCs w:val="16"/>
                <w:color w:val="auto"/>
              </w:rPr>
              <w:t>Document</w:t>
            </w: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line="162" w:lineRule="exact"/>
              <w:rPr>
                <w:sz w:val="20"/>
                <w:szCs w:val="20"/>
                <w:color w:val="auto"/>
              </w:rPr>
            </w:pPr>
            <w:r>
              <w:rPr>
                <w:rFonts w:ascii="Arial" w:cs="Arial" w:eastAsia="Arial" w:hAnsi="Arial"/>
                <w:sz w:val="16"/>
                <w:szCs w:val="16"/>
                <w:color w:val="auto"/>
              </w:rPr>
              <w:t>104</w:t>
            </w:r>
          </w:p>
        </w:tc>
        <w:tc>
          <w:tcPr>
            <w:tcW w:w="4040" w:type="dxa"/>
            <w:vAlign w:val="bottom"/>
            <w:gridSpan w:val="16"/>
          </w:tcPr>
          <w:p>
            <w:pPr>
              <w:spacing w:after="0" w:line="162" w:lineRule="exact"/>
              <w:rPr>
                <w:sz w:val="20"/>
                <w:szCs w:val="20"/>
                <w:color w:val="auto"/>
              </w:rPr>
            </w:pPr>
            <w:r>
              <w:rPr>
                <w:rFonts w:ascii="Arial" w:cs="Arial" w:eastAsia="Arial" w:hAnsi="Arial"/>
                <w:sz w:val="16"/>
                <w:szCs w:val="16"/>
                <w:color w:val="auto"/>
                <w:w w:val="95"/>
              </w:rPr>
              <w:t>Cover Page Interactive Data File (formatted as Inline XBRL</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center"/>
              <w:ind w:left="55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040" w:type="dxa"/>
            <w:vAlign w:val="bottom"/>
            <w:gridSpan w:val="16"/>
          </w:tcPr>
          <w:p>
            <w:pPr>
              <w:spacing w:after="0"/>
              <w:rPr>
                <w:sz w:val="20"/>
                <w:szCs w:val="20"/>
                <w:color w:val="auto"/>
              </w:rPr>
            </w:pPr>
            <w:r>
              <w:rPr>
                <w:rFonts w:ascii="Arial" w:cs="Arial" w:eastAsia="Arial" w:hAnsi="Arial"/>
                <w:sz w:val="16"/>
                <w:szCs w:val="16"/>
                <w:color w:val="auto"/>
              </w:rPr>
              <w:t>and contained in Exhibit 101)</w:t>
            </w: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6"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18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2" w:name="page33"/>
    <w:bookmarkEnd w:id="3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4360" w:type="dxa"/>
            <w:vAlign w:val="bottom"/>
          </w:tcPr>
          <w:p>
            <w:pPr>
              <w:ind w:left="2540"/>
              <w:spacing w:after="0"/>
              <w:rPr>
                <w:sz w:val="20"/>
                <w:szCs w:val="20"/>
                <w:color w:val="auto"/>
              </w:rPr>
            </w:pPr>
            <w:r>
              <w:rPr>
                <w:rFonts w:ascii="Arial" w:cs="Arial" w:eastAsia="Arial" w:hAnsi="Arial"/>
                <w:sz w:val="18"/>
                <w:szCs w:val="18"/>
                <w:color w:val="auto"/>
                <w:w w:val="93"/>
              </w:rPr>
              <w:t>SIGHT SCIENCES, INC</w:t>
            </w:r>
          </w:p>
        </w:tc>
      </w:tr>
      <w:tr>
        <w:trPr>
          <w:trHeight w:val="353"/>
        </w:trPr>
        <w:tc>
          <w:tcPr>
            <w:tcW w:w="3540" w:type="dxa"/>
            <w:vAlign w:val="bottom"/>
          </w:tcPr>
          <w:p>
            <w:pPr>
              <w:spacing w:after="0"/>
              <w:rPr>
                <w:sz w:val="20"/>
                <w:szCs w:val="20"/>
                <w:color w:val="auto"/>
              </w:rPr>
            </w:pPr>
            <w:r>
              <w:rPr>
                <w:rFonts w:ascii="Arial" w:cs="Arial" w:eastAsia="Arial" w:hAnsi="Arial"/>
                <w:sz w:val="18"/>
                <w:szCs w:val="18"/>
                <w:color w:val="auto"/>
              </w:rPr>
              <w:t>May 10, 2022</w:t>
            </w:r>
          </w:p>
        </w:tc>
        <w:tc>
          <w:tcPr>
            <w:tcW w:w="4360" w:type="dxa"/>
            <w:vAlign w:val="bottom"/>
          </w:tcPr>
          <w:p>
            <w:pPr>
              <w:ind w:left="2540"/>
              <w:spacing w:after="0"/>
              <w:rPr>
                <w:sz w:val="20"/>
                <w:szCs w:val="20"/>
                <w:color w:val="auto"/>
              </w:rPr>
            </w:pPr>
            <w:r>
              <w:rPr>
                <w:rFonts w:ascii="Arial" w:cs="Arial" w:eastAsia="Arial" w:hAnsi="Arial"/>
                <w:sz w:val="18"/>
                <w:szCs w:val="18"/>
                <w:color w:val="auto"/>
              </w:rPr>
              <w:t>By:  /s/ Paul Badawi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-635</wp:posOffset>
            </wp:positionV>
            <wp:extent cx="2914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ind w:left="6600"/>
        <w:spacing w:after="0" w:line="219" w:lineRule="auto"/>
        <w:rPr>
          <w:sz w:val="20"/>
          <w:szCs w:val="20"/>
          <w:color w:val="auto"/>
        </w:rPr>
      </w:pPr>
      <w:r>
        <w:rPr>
          <w:rFonts w:ascii="Arial" w:cs="Arial" w:eastAsia="Arial" w:hAnsi="Arial"/>
          <w:sz w:val="18"/>
          <w:szCs w:val="18"/>
          <w:color w:val="auto"/>
        </w:rPr>
        <w:t>Paul Badawi</w:t>
      </w:r>
    </w:p>
    <w:p>
      <w:pPr>
        <w:ind w:left="66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b w:val="1"/>
          <w:bCs w:val="1"/>
          <w:color w:val="auto"/>
        </w:rPr>
        <w:t>Exhibit 10.1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SIGHT SCIENCES, INC. 2021 INCENTIVE AWARD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SUB-PLAN FOR UK EMPLOYEES</w:t>
      </w:r>
    </w:p>
    <w:p>
      <w:pPr>
        <w:spacing w:after="0" w:line="202" w:lineRule="exact"/>
        <w:rPr>
          <w:sz w:val="20"/>
          <w:szCs w:val="20"/>
          <w:color w:val="auto"/>
        </w:rPr>
      </w:pPr>
    </w:p>
    <w:p>
      <w:pPr>
        <w:ind w:left="760" w:hanging="752"/>
        <w:spacing w:after="0"/>
        <w:tabs>
          <w:tab w:leader="none" w:pos="7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22"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9"/>
          <w:szCs w:val="19"/>
          <w:color w:val="auto"/>
        </w:rPr>
        <w:t>Pursuant to the powers granted by the Administrator in Section 10.5 of the Sight Sciences, Inc. 2021 Incentive Award Plan (as it may be amended or restated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the Administrator has adopted this Sub-Plan (the “</w:t>
      </w:r>
      <w:r>
        <w:rPr>
          <w:rFonts w:ascii="Arial" w:cs="Arial" w:eastAsia="Arial" w:hAnsi="Arial"/>
          <w:sz w:val="19"/>
          <w:szCs w:val="19"/>
          <w:b w:val="1"/>
          <w:bCs w:val="1"/>
          <w:i w:val="1"/>
          <w:iCs w:val="1"/>
          <w:color w:val="auto"/>
        </w:rPr>
        <w:t>Sub-Plan</w:t>
      </w:r>
      <w:r>
        <w:rPr>
          <w:rFonts w:ascii="Arial" w:cs="Arial" w:eastAsia="Arial" w:hAnsi="Arial"/>
          <w:sz w:val="19"/>
          <w:szCs w:val="19"/>
          <w:color w:val="auto"/>
        </w:rPr>
        <w:t>”). The purpose of the Sub-Plan is to promote the success and enhance the value of Sight 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by linking the individual interests of Employees, to those of Company stockholders and by providing such individuals with an incentive for outstanding performance to generate superior returns to Company stockholders. The Sub-Plan is further intended to provide flexibility to the Company in its ability to motivate, attract, and retain the services of Employees upon whose judgment, interest, and special effort the successful conduct of the Company’s operation is largely dependent. Only Employees may receive Awards under the Sub-Plan. Capitalized terms used herein and not otherwise defined herein shall have the meaning ascribed thereto in the Plan.</w:t>
      </w:r>
    </w:p>
    <w:p>
      <w:pPr>
        <w:spacing w:after="0" w:line="176" w:lineRule="exact"/>
        <w:rPr>
          <w:sz w:val="20"/>
          <w:szCs w:val="20"/>
          <w:color w:val="auto"/>
        </w:rPr>
      </w:pPr>
    </w:p>
    <w:p>
      <w:pPr>
        <w:ind w:left="760" w:hanging="752"/>
        <w:spacing w:after="0"/>
        <w:tabs>
          <w:tab w:leader="none" w:pos="7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20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Sub-Plan forms the rules of the employee share scheme applicable to Awards made under the Sub-Plan to Employees of the Company and any Subsidiaries based in the United Kingdom or in any other jurisdiction at the discretion of the Administrator. Other Service Providers who are not Employees (such as Consultants and non-employee Directors) are not eligible to receive Awards and become Participants under this Sub-Plan. References to the phrase “Service Provider” shall be interpreted as referring only to Employees when that phrase in the Plan is used in the context of the Sub-Plan and Awards granted to Employees under this Sub-Plan.</w:t>
      </w:r>
    </w:p>
    <w:p>
      <w:pPr>
        <w:spacing w:after="0" w:line="156" w:lineRule="exact"/>
        <w:rPr>
          <w:sz w:val="20"/>
          <w:szCs w:val="20"/>
          <w:color w:val="auto"/>
        </w:rPr>
      </w:pPr>
    </w:p>
    <w:p>
      <w:pPr>
        <w:ind w:left="760" w:hanging="752"/>
        <w:spacing w:after="0"/>
        <w:tabs>
          <w:tab w:leader="none" w:pos="7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 and Delegation</w:t>
      </w:r>
    </w:p>
    <w:p>
      <w:pPr>
        <w:spacing w:after="0" w:line="208" w:lineRule="exact"/>
        <w:rPr>
          <w:rFonts w:ascii="Arial" w:cs="Arial" w:eastAsia="Arial" w:hAnsi="Arial"/>
          <w:sz w:val="20"/>
          <w:szCs w:val="20"/>
          <w:b w:val="1"/>
          <w:bCs w:val="1"/>
          <w:color w:val="auto"/>
        </w:rPr>
      </w:pPr>
    </w:p>
    <w:p>
      <w:pPr>
        <w:ind w:left="1500" w:hanging="743"/>
        <w:spacing w:after="0" w:line="246" w:lineRule="auto"/>
        <w:tabs>
          <w:tab w:leader="none" w:pos="1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provisions of Article 3 of the Plan shall apply to this Sub-Plan as if references to the Plan are references to the Sub-Plan.</w:t>
      </w:r>
    </w:p>
    <w:p>
      <w:pPr>
        <w:spacing w:after="0" w:line="176" w:lineRule="exact"/>
        <w:rPr>
          <w:rFonts w:ascii="Arial" w:cs="Arial" w:eastAsia="Arial" w:hAnsi="Arial"/>
          <w:sz w:val="20"/>
          <w:szCs w:val="20"/>
          <w:color w:val="auto"/>
        </w:rPr>
      </w:pPr>
    </w:p>
    <w:p>
      <w:pPr>
        <w:jc w:val="both"/>
        <w:ind w:left="1500" w:hanging="743"/>
        <w:spacing w:after="0" w:line="237" w:lineRule="auto"/>
        <w:tabs>
          <w:tab w:leader="none" w:pos="1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Capitalized terms used in the Sub-Plan which are not defined herein shall have the meaning given in the Plan, and where the context requires any references to the “Plan” in those definitions shall be a reference to the Sub-Plan. The singular pronoun shall include the plural where the context so indicates.</w:t>
      </w:r>
    </w:p>
    <w:p>
      <w:pPr>
        <w:spacing w:after="0" w:line="182" w:lineRule="exact"/>
        <w:rPr>
          <w:rFonts w:ascii="Arial" w:cs="Arial" w:eastAsia="Arial" w:hAnsi="Arial"/>
          <w:sz w:val="20"/>
          <w:szCs w:val="20"/>
          <w:color w:val="auto"/>
        </w:rPr>
      </w:pPr>
    </w:p>
    <w:p>
      <w:pPr>
        <w:ind w:left="1500" w:right="20" w:hanging="743"/>
        <w:spacing w:after="0" w:line="246" w:lineRule="auto"/>
        <w:tabs>
          <w:tab w:leader="none" w:pos="1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In the event of a conflict between the terms of the Sub-Plan and the Plan with respect to Awards granted to Employees based in the United Kingdom under the Sub-Plan, the terms of the Sub-Plan will control.</w:t>
      </w:r>
    </w:p>
    <w:p>
      <w:pPr>
        <w:spacing w:after="0" w:line="170" w:lineRule="exact"/>
        <w:rPr>
          <w:rFonts w:ascii="Arial" w:cs="Arial" w:eastAsia="Arial" w:hAnsi="Arial"/>
          <w:sz w:val="20"/>
          <w:szCs w:val="20"/>
          <w:color w:val="auto"/>
        </w:rPr>
      </w:pPr>
    </w:p>
    <w:p>
      <w:pPr>
        <w:ind w:left="760" w:hanging="752"/>
        <w:spacing w:after="0"/>
        <w:tabs>
          <w:tab w:leader="none" w:pos="7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Stock Available for Awards</w:t>
      </w:r>
    </w:p>
    <w:p>
      <w:pPr>
        <w:spacing w:after="0" w:line="221" w:lineRule="exact"/>
        <w:rPr>
          <w:rFonts w:ascii="Arial" w:cs="Arial" w:eastAsia="Arial" w:hAnsi="Arial"/>
          <w:sz w:val="20"/>
          <w:szCs w:val="20"/>
          <w:b w:val="1"/>
          <w:bCs w:val="1"/>
          <w:color w:val="auto"/>
        </w:rPr>
      </w:pPr>
    </w:p>
    <w:p>
      <w:pPr>
        <w:ind w:left="1500" w:hanging="743"/>
        <w:spacing w:after="0" w:line="246" w:lineRule="auto"/>
        <w:tabs>
          <w:tab w:leader="none" w:pos="1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Except as set out below, and subject to the terms of 4(c) of this Sub-Plan, the provisions of Article 4 of the Plan shall apply to this Sub-Plan as if references to the Plan are references to the Sub-Plan.</w:t>
      </w:r>
    </w:p>
    <w:p>
      <w:pPr>
        <w:spacing w:after="0" w:line="176" w:lineRule="exact"/>
        <w:rPr>
          <w:rFonts w:ascii="Arial" w:cs="Arial" w:eastAsia="Arial" w:hAnsi="Arial"/>
          <w:sz w:val="20"/>
          <w:szCs w:val="20"/>
          <w:color w:val="auto"/>
        </w:rPr>
      </w:pPr>
    </w:p>
    <w:p>
      <w:pPr>
        <w:ind w:left="1500" w:hanging="743"/>
        <w:spacing w:after="0"/>
        <w:tabs>
          <w:tab w:leader="none" w:pos="1500" w:val="left"/>
        </w:tabs>
        <w:numPr>
          <w:ilvl w:val="1"/>
          <w:numId w:val="9"/>
        </w:numPr>
        <w:rPr>
          <w:rFonts w:ascii="Arial" w:cs="Arial" w:eastAsia="Arial" w:hAnsi="Arial"/>
          <w:sz w:val="20"/>
          <w:szCs w:val="20"/>
          <w:color w:val="auto"/>
        </w:rPr>
      </w:pPr>
      <w:r>
        <w:rPr>
          <w:rFonts w:ascii="Arial" w:cs="Arial" w:eastAsia="Arial" w:hAnsi="Arial"/>
          <w:sz w:val="20"/>
          <w:szCs w:val="20"/>
          <w:color w:val="auto"/>
        </w:rPr>
        <w:t>Sections 4.3 and 4.5 of the Plan will not apply to the Sub-Plan.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both"/>
        <w:ind w:left="1492" w:hanging="743"/>
        <w:spacing w:after="0" w:line="275" w:lineRule="auto"/>
        <w:tabs>
          <w:tab w:leader="none" w:pos="14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aggregate number of Shares which may be issued or transferred pursuant to Awards under the Sub-Plan, when taken together with the number of Shares which may be issued or transferred pursuant to Awards under the Plan or any other sub-plan shall not exceed the limits specified by Article 4 of the Plan, as amended from time to time.</w:t>
      </w:r>
    </w:p>
    <w:p>
      <w:pPr>
        <w:spacing w:after="0" w:line="146" w:lineRule="exact"/>
        <w:rPr>
          <w:rFonts w:ascii="Arial" w:cs="Arial" w:eastAsia="Arial" w:hAnsi="Arial"/>
          <w:sz w:val="18"/>
          <w:szCs w:val="18"/>
          <w:color w:val="auto"/>
        </w:rPr>
      </w:pPr>
    </w:p>
    <w:p>
      <w:pPr>
        <w:ind w:left="752" w:hanging="752"/>
        <w:spacing w:after="0"/>
        <w:tabs>
          <w:tab w:leader="none" w:pos="752"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Stock Options and Stock Appreciation Rights</w:t>
      </w:r>
    </w:p>
    <w:p>
      <w:pPr>
        <w:spacing w:after="0" w:line="221" w:lineRule="exact"/>
        <w:rPr>
          <w:rFonts w:ascii="Arial" w:cs="Arial" w:eastAsia="Arial" w:hAnsi="Arial"/>
          <w:sz w:val="20"/>
          <w:szCs w:val="20"/>
          <w:b w:val="1"/>
          <w:bCs w:val="1"/>
          <w:color w:val="auto"/>
        </w:rPr>
      </w:pPr>
    </w:p>
    <w:p>
      <w:pPr>
        <w:ind w:left="1492" w:hanging="743"/>
        <w:spacing w:after="0" w:line="246" w:lineRule="auto"/>
        <w:tabs>
          <w:tab w:leader="none" w:pos="1492" w:val="left"/>
        </w:tabs>
        <w:numPr>
          <w:ilvl w:val="1"/>
          <w:numId w:val="11"/>
        </w:numPr>
        <w:rPr>
          <w:rFonts w:ascii="Arial" w:cs="Arial" w:eastAsia="Arial" w:hAnsi="Arial"/>
          <w:sz w:val="20"/>
          <w:szCs w:val="20"/>
          <w:color w:val="auto"/>
        </w:rPr>
      </w:pPr>
      <w:r>
        <w:rPr>
          <w:rFonts w:ascii="Arial" w:cs="Arial" w:eastAsia="Arial" w:hAnsi="Arial"/>
          <w:sz w:val="20"/>
          <w:szCs w:val="20"/>
          <w:color w:val="auto"/>
        </w:rPr>
        <w:t>Except as set out below, the provisions of Article 5 of the Plan shall apply to this Sub-Plan as if references to the Plan are references to the Sub-Plan.</w:t>
      </w:r>
    </w:p>
    <w:p>
      <w:pPr>
        <w:spacing w:after="0" w:line="176" w:lineRule="exact"/>
        <w:rPr>
          <w:rFonts w:ascii="Arial" w:cs="Arial" w:eastAsia="Arial" w:hAnsi="Arial"/>
          <w:sz w:val="20"/>
          <w:szCs w:val="20"/>
          <w:color w:val="auto"/>
        </w:rPr>
      </w:pPr>
    </w:p>
    <w:p>
      <w:pPr>
        <w:jc w:val="both"/>
        <w:ind w:left="1492" w:hanging="743"/>
        <w:spacing w:after="0" w:line="237" w:lineRule="auto"/>
        <w:tabs>
          <w:tab w:leader="none" w:pos="1492" w:val="left"/>
        </w:tabs>
        <w:numPr>
          <w:ilvl w:val="1"/>
          <w:numId w:val="11"/>
        </w:numPr>
        <w:rPr>
          <w:rFonts w:ascii="Arial" w:cs="Arial" w:eastAsia="Arial" w:hAnsi="Arial"/>
          <w:sz w:val="20"/>
          <w:szCs w:val="20"/>
          <w:color w:val="auto"/>
        </w:rPr>
      </w:pPr>
      <w:r>
        <w:rPr>
          <w:rFonts w:ascii="Arial" w:cs="Arial" w:eastAsia="Arial" w:hAnsi="Arial"/>
          <w:sz w:val="20"/>
          <w:szCs w:val="20"/>
          <w:color w:val="auto"/>
        </w:rPr>
        <w:t>Unless otherwise determined appropriate by the Administrator, any Option granted under this Sub-Plan shall be a Non-Qualified Stock Option. Any reference to Incentive Stock Option shall not apply to Options granted pursuant to this Sub-Plan.</w:t>
      </w:r>
    </w:p>
    <w:p>
      <w:pPr>
        <w:spacing w:after="0" w:line="176" w:lineRule="exact"/>
        <w:rPr>
          <w:rFonts w:ascii="Arial" w:cs="Arial" w:eastAsia="Arial" w:hAnsi="Arial"/>
          <w:sz w:val="20"/>
          <w:szCs w:val="20"/>
          <w:color w:val="auto"/>
        </w:rPr>
      </w:pPr>
    </w:p>
    <w:p>
      <w:pPr>
        <w:ind w:left="752" w:hanging="752"/>
        <w:spacing w:after="0"/>
        <w:tabs>
          <w:tab w:leader="none" w:pos="752"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Restricted Stock; Restricted Stock Units</w:t>
      </w:r>
    </w:p>
    <w:p>
      <w:pPr>
        <w:spacing w:after="0" w:line="208" w:lineRule="exact"/>
        <w:rPr>
          <w:rFonts w:ascii="Arial" w:cs="Arial" w:eastAsia="Arial" w:hAnsi="Arial"/>
          <w:sz w:val="20"/>
          <w:szCs w:val="20"/>
          <w:b w:val="1"/>
          <w:bCs w:val="1"/>
          <w:color w:val="auto"/>
        </w:rPr>
      </w:pPr>
    </w:p>
    <w:p>
      <w:pPr>
        <w:ind w:left="752"/>
        <w:spacing w:after="0"/>
        <w:rPr>
          <w:rFonts w:ascii="Arial" w:cs="Arial" w:eastAsia="Arial" w:hAnsi="Arial"/>
          <w:sz w:val="20"/>
          <w:szCs w:val="20"/>
          <w:b w:val="1"/>
          <w:bCs w:val="1"/>
          <w:color w:val="auto"/>
        </w:rPr>
      </w:pPr>
      <w:r>
        <w:rPr>
          <w:rFonts w:ascii="Arial" w:cs="Arial" w:eastAsia="Arial" w:hAnsi="Arial"/>
          <w:sz w:val="18"/>
          <w:szCs w:val="18"/>
          <w:color w:val="auto"/>
        </w:rPr>
        <w:t>The provisions of Article 6 of the Plan shall apply to this Sub-Plan as if references to the Plan are references to the Sub-Plan.</w:t>
      </w:r>
    </w:p>
    <w:p>
      <w:pPr>
        <w:spacing w:after="0" w:line="219" w:lineRule="exact"/>
        <w:rPr>
          <w:rFonts w:ascii="Arial" w:cs="Arial" w:eastAsia="Arial" w:hAnsi="Arial"/>
          <w:sz w:val="20"/>
          <w:szCs w:val="20"/>
          <w:b w:val="1"/>
          <w:bCs w:val="1"/>
          <w:color w:val="auto"/>
        </w:rPr>
      </w:pPr>
    </w:p>
    <w:p>
      <w:pPr>
        <w:ind w:left="752" w:hanging="752"/>
        <w:spacing w:after="0"/>
        <w:tabs>
          <w:tab w:leader="none" w:pos="752"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Other Stock or Cash Based Awards</w:t>
      </w:r>
    </w:p>
    <w:p>
      <w:pPr>
        <w:spacing w:after="0" w:line="221" w:lineRule="exact"/>
        <w:rPr>
          <w:rFonts w:ascii="Arial" w:cs="Arial" w:eastAsia="Arial" w:hAnsi="Arial"/>
          <w:sz w:val="20"/>
          <w:szCs w:val="20"/>
          <w:b w:val="1"/>
          <w:bCs w:val="1"/>
          <w:color w:val="auto"/>
        </w:rPr>
      </w:pPr>
    </w:p>
    <w:p>
      <w:pPr>
        <w:ind w:left="752"/>
        <w:spacing w:after="0"/>
        <w:rPr>
          <w:rFonts w:ascii="Arial" w:cs="Arial" w:eastAsia="Arial" w:hAnsi="Arial"/>
          <w:sz w:val="20"/>
          <w:szCs w:val="20"/>
          <w:b w:val="1"/>
          <w:bCs w:val="1"/>
          <w:color w:val="auto"/>
        </w:rPr>
      </w:pPr>
      <w:r>
        <w:rPr>
          <w:rFonts w:ascii="Arial" w:cs="Arial" w:eastAsia="Arial" w:hAnsi="Arial"/>
          <w:sz w:val="18"/>
          <w:szCs w:val="18"/>
          <w:color w:val="auto"/>
        </w:rPr>
        <w:t>The provisions of Article 7 of the Plan shall apply to this Sub-Plan as if references to the Plan are references to the Sub-Plan.</w:t>
      </w:r>
    </w:p>
    <w:p>
      <w:pPr>
        <w:spacing w:after="0" w:line="219" w:lineRule="exact"/>
        <w:rPr>
          <w:rFonts w:ascii="Arial" w:cs="Arial" w:eastAsia="Arial" w:hAnsi="Arial"/>
          <w:sz w:val="20"/>
          <w:szCs w:val="20"/>
          <w:b w:val="1"/>
          <w:bCs w:val="1"/>
          <w:color w:val="auto"/>
        </w:rPr>
      </w:pPr>
    </w:p>
    <w:p>
      <w:pPr>
        <w:ind w:left="752" w:hanging="752"/>
        <w:spacing w:after="0"/>
        <w:tabs>
          <w:tab w:leader="none" w:pos="752"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For Changes In Common Stock And Certain Other Events</w:t>
      </w:r>
    </w:p>
    <w:p>
      <w:pPr>
        <w:spacing w:after="0" w:line="221" w:lineRule="exact"/>
        <w:rPr>
          <w:rFonts w:ascii="Arial" w:cs="Arial" w:eastAsia="Arial" w:hAnsi="Arial"/>
          <w:sz w:val="20"/>
          <w:szCs w:val="20"/>
          <w:b w:val="1"/>
          <w:bCs w:val="1"/>
          <w:color w:val="auto"/>
        </w:rPr>
      </w:pPr>
    </w:p>
    <w:p>
      <w:pPr>
        <w:ind w:left="752"/>
        <w:spacing w:after="0"/>
        <w:rPr>
          <w:rFonts w:ascii="Arial" w:cs="Arial" w:eastAsia="Arial" w:hAnsi="Arial"/>
          <w:sz w:val="20"/>
          <w:szCs w:val="20"/>
          <w:b w:val="1"/>
          <w:bCs w:val="1"/>
          <w:color w:val="auto"/>
        </w:rPr>
      </w:pPr>
      <w:r>
        <w:rPr>
          <w:rFonts w:ascii="Arial" w:cs="Arial" w:eastAsia="Arial" w:hAnsi="Arial"/>
          <w:sz w:val="18"/>
          <w:szCs w:val="18"/>
          <w:color w:val="auto"/>
        </w:rPr>
        <w:t>The provisions of Article 8 of the Plan shall apply to this Sub-Plan as if references to the Plan are references to the Sub-Plan.</w:t>
      </w:r>
    </w:p>
    <w:p>
      <w:pPr>
        <w:spacing w:after="0" w:line="219" w:lineRule="exact"/>
        <w:rPr>
          <w:rFonts w:ascii="Arial" w:cs="Arial" w:eastAsia="Arial" w:hAnsi="Arial"/>
          <w:sz w:val="20"/>
          <w:szCs w:val="20"/>
          <w:b w:val="1"/>
          <w:bCs w:val="1"/>
          <w:color w:val="auto"/>
        </w:rPr>
      </w:pPr>
    </w:p>
    <w:p>
      <w:pPr>
        <w:ind w:left="752" w:hanging="752"/>
        <w:spacing w:after="0"/>
        <w:tabs>
          <w:tab w:leader="none" w:pos="752"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 Applicable To Awards</w:t>
      </w:r>
    </w:p>
    <w:p>
      <w:pPr>
        <w:spacing w:after="0" w:line="221" w:lineRule="exact"/>
        <w:rPr>
          <w:rFonts w:ascii="Arial" w:cs="Arial" w:eastAsia="Arial" w:hAnsi="Arial"/>
          <w:sz w:val="20"/>
          <w:szCs w:val="20"/>
          <w:b w:val="1"/>
          <w:bCs w:val="1"/>
          <w:color w:val="auto"/>
        </w:rPr>
      </w:pPr>
    </w:p>
    <w:p>
      <w:pPr>
        <w:ind w:left="1492" w:hanging="743"/>
        <w:spacing w:after="0" w:line="246" w:lineRule="auto"/>
        <w:tabs>
          <w:tab w:leader="none" w:pos="1492" w:val="left"/>
        </w:tabs>
        <w:numPr>
          <w:ilvl w:val="1"/>
          <w:numId w:val="11"/>
        </w:numPr>
        <w:rPr>
          <w:rFonts w:ascii="Arial" w:cs="Arial" w:eastAsia="Arial" w:hAnsi="Arial"/>
          <w:sz w:val="20"/>
          <w:szCs w:val="20"/>
          <w:color w:val="auto"/>
        </w:rPr>
      </w:pPr>
      <w:r>
        <w:rPr>
          <w:rFonts w:ascii="Arial" w:cs="Arial" w:eastAsia="Arial" w:hAnsi="Arial"/>
          <w:sz w:val="20"/>
          <w:szCs w:val="20"/>
          <w:color w:val="auto"/>
        </w:rPr>
        <w:t>Except as set out below, the provisions of Article 9 of the Plan shall apply to this Sub-Plan as if references to the Plan are references to the Sub-Plan.</w:t>
      </w:r>
    </w:p>
    <w:p>
      <w:pPr>
        <w:spacing w:after="0" w:line="176" w:lineRule="exact"/>
        <w:rPr>
          <w:rFonts w:ascii="Arial" w:cs="Arial" w:eastAsia="Arial" w:hAnsi="Arial"/>
          <w:sz w:val="20"/>
          <w:szCs w:val="20"/>
          <w:color w:val="auto"/>
        </w:rPr>
      </w:pPr>
    </w:p>
    <w:p>
      <w:pPr>
        <w:jc w:val="both"/>
        <w:ind w:left="1492" w:hanging="743"/>
        <w:spacing w:after="0" w:line="256" w:lineRule="auto"/>
        <w:tabs>
          <w:tab w:leader="none" w:pos="14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Section 9.5 of the Plan shall be amended so that the term “taxes required by law to be withheld” and any similar phrases relating to tax obligations when used in Section 9.5 shall include income tax, employee’s National Insurance contributions and (at the discretion of the Company and to the extent permitted by law) employer’s National Insurance contributions or other similar taxes arising in any jurisdiction (any a “</w:t>
      </w:r>
      <w:r>
        <w:rPr>
          <w:rFonts w:ascii="Arial" w:cs="Arial" w:eastAsia="Arial" w:hAnsi="Arial"/>
          <w:sz w:val="18"/>
          <w:szCs w:val="18"/>
          <w:b w:val="1"/>
          <w:bCs w:val="1"/>
          <w:i w:val="1"/>
          <w:iCs w:val="1"/>
          <w:color w:val="auto"/>
        </w:rPr>
        <w:t>Tax Liability</w:t>
      </w:r>
      <w:r>
        <w:rPr>
          <w:rFonts w:ascii="Arial" w:cs="Arial" w:eastAsia="Arial" w:hAnsi="Arial"/>
          <w:sz w:val="18"/>
          <w:szCs w:val="18"/>
          <w:color w:val="auto"/>
        </w:rPr>
        <w:t>”) that are attributable to (i) the grant, exercise or vesting of, or any benefit derived by the Participant from, an Award or the Common Stock which are the subject of the Award; (ii) the transfer or issuance of Common Stock to the Participant upon exercise or satisfaction of an Award; (iii) any restrictions applicable to any Common Stock held by the Participant ceasing to apply thereto; or (iv) the disposal of any Common Stock (each event referred to as a “</w:t>
      </w:r>
      <w:r>
        <w:rPr>
          <w:rFonts w:ascii="Arial" w:cs="Arial" w:eastAsia="Arial" w:hAnsi="Arial"/>
          <w:sz w:val="18"/>
          <w:szCs w:val="18"/>
          <w:b w:val="1"/>
          <w:bCs w:val="1"/>
          <w:i w:val="1"/>
          <w:iCs w:val="1"/>
          <w:color w:val="auto"/>
        </w:rPr>
        <w:t>Taxable Event</w:t>
      </w:r>
      <w:r>
        <w:rPr>
          <w:rFonts w:ascii="Arial" w:cs="Arial" w:eastAsia="Arial" w:hAnsi="Arial"/>
          <w:sz w:val="18"/>
          <w:szCs w:val="18"/>
          <w:color w:val="auto"/>
        </w:rPr>
        <w:t>”). The Participant will indemnify and keep indemnified the Company and his/her employing company, if different, from and against any liability for or obligation to pay any Tax Liability arising in consequence of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636270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6" w:right="339" w:bottom="1440" w:gutter="0" w:footer="0" w:header="0"/>
        </w:sectPr>
      </w:pPr>
    </w:p>
    <w:bookmarkStart w:id="35" w:name="page36"/>
    <w:bookmarkEnd w:id="35"/>
    <w:p>
      <w:pPr>
        <w:ind w:left="1492" w:hanging="743"/>
        <w:spacing w:after="0"/>
        <w:tabs>
          <w:tab w:leader="none" w:pos="1492"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following language set out below is in addition to Section 9.5 of the Plan:</w:t>
      </w:r>
    </w:p>
    <w:p>
      <w:pPr>
        <w:spacing w:after="0" w:line="202" w:lineRule="exact"/>
        <w:rPr>
          <w:rFonts w:ascii="Arial" w:cs="Arial" w:eastAsia="Arial" w:hAnsi="Arial"/>
          <w:sz w:val="20"/>
          <w:szCs w:val="20"/>
          <w:color w:val="auto"/>
        </w:rPr>
      </w:pPr>
    </w:p>
    <w:p>
      <w:pPr>
        <w:jc w:val="both"/>
        <w:ind w:left="1492"/>
        <w:spacing w:after="0" w:line="254"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Participant agrees that if the Participant does not pay, or his/her employer (the “</w:t>
      </w:r>
      <w:r>
        <w:rPr>
          <w:rFonts w:ascii="Arial" w:cs="Arial" w:eastAsia="Arial" w:hAnsi="Arial"/>
          <w:sz w:val="18"/>
          <w:szCs w:val="18"/>
          <w:b w:val="1"/>
          <w:bCs w:val="1"/>
          <w:i w:val="1"/>
          <w:iCs w:val="1"/>
          <w:u w:val="single" w:color="auto"/>
          <w:color w:val="auto"/>
        </w:rPr>
        <w:t>Employer</w:t>
      </w:r>
      <w:r>
        <w:rPr>
          <w:rFonts w:ascii="Arial" w:cs="Arial" w:eastAsia="Arial" w:hAnsi="Arial"/>
          <w:sz w:val="18"/>
          <w:szCs w:val="18"/>
          <w:i w:val="1"/>
          <w:iCs w:val="1"/>
          <w:color w:val="auto"/>
        </w:rPr>
        <w:t>”) or the Company does</w:t>
      </w:r>
      <w:r>
        <w:rPr>
          <w:rFonts w:ascii="Arial" w:cs="Arial" w:eastAsia="Arial" w:hAnsi="Arial"/>
          <w:sz w:val="18"/>
          <w:szCs w:val="18"/>
          <w:color w:val="auto"/>
        </w:rPr>
        <w:t xml:space="preserve"> </w:t>
      </w:r>
      <w:r>
        <w:rPr>
          <w:rFonts w:ascii="Arial" w:cs="Arial" w:eastAsia="Arial" w:hAnsi="Arial"/>
          <w:sz w:val="18"/>
          <w:szCs w:val="18"/>
          <w:i w:val="1"/>
          <w:iCs w:val="1"/>
          <w:color w:val="auto"/>
        </w:rPr>
        <w:t>not withhold from the Participant, the full amount of any income tax arising in respect of any Taxable Event (and to the extent such income tax pertains to a “notional payment” as defined in Section 222(1)(a) of the Income Tax (Earnings and Pensions) Act 2003 (“</w:t>
      </w:r>
      <w:r>
        <w:rPr>
          <w:rFonts w:ascii="Arial" w:cs="Arial" w:eastAsia="Arial" w:hAnsi="Arial"/>
          <w:sz w:val="18"/>
          <w:szCs w:val="18"/>
          <w:b w:val="1"/>
          <w:bCs w:val="1"/>
          <w:i w:val="1"/>
          <w:iCs w:val="1"/>
          <w:u w:val="single" w:color="auto"/>
          <w:color w:val="auto"/>
        </w:rPr>
        <w:t>ITEPA</w:t>
      </w:r>
      <w:r>
        <w:rPr>
          <w:rFonts w:ascii="Arial" w:cs="Arial" w:eastAsia="Arial" w:hAnsi="Arial"/>
          <w:sz w:val="18"/>
          <w:szCs w:val="18"/>
          <w:i w:val="1"/>
          <w:iCs w:val="1"/>
          <w:color w:val="auto"/>
        </w:rPr>
        <w:t>”)) within ninety (90) days after the end of the tax year in which the notional payment is treated as having been made (for the purposes of Section 222 of ITEPA), or such other period specified in Section 222(1)</w:t>
      </w:r>
    </w:p>
    <w:p>
      <w:pPr>
        <w:jc w:val="both"/>
        <w:ind w:left="1492" w:firstLine="5"/>
        <w:spacing w:after="0" w:line="254" w:lineRule="auto"/>
        <w:tabs>
          <w:tab w:leader="none" w:pos="1778" w:val="left"/>
        </w:tabs>
        <w:numPr>
          <w:ilvl w:val="1"/>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of ITEPA, (the “</w:t>
      </w:r>
      <w:r>
        <w:rPr>
          <w:rFonts w:ascii="Arial" w:cs="Arial" w:eastAsia="Arial" w:hAnsi="Arial"/>
          <w:sz w:val="18"/>
          <w:szCs w:val="18"/>
          <w:b w:val="1"/>
          <w:bCs w:val="1"/>
          <w:i w:val="1"/>
          <w:iCs w:val="1"/>
          <w:u w:val="single" w:color="auto"/>
          <w:color w:val="auto"/>
        </w:rPr>
        <w:t>Relevant Period</w:t>
      </w:r>
      <w:r>
        <w:rPr>
          <w:rFonts w:ascii="Arial" w:cs="Arial" w:eastAsia="Arial" w:hAnsi="Arial"/>
          <w:sz w:val="18"/>
          <w:szCs w:val="18"/>
          <w:i w:val="1"/>
          <w:iCs w:val="1"/>
          <w:color w:val="auto"/>
        </w:rPr>
        <w:t>”) then the amount of income tax and employee’s National Insurance contributions that should have been withheld in respect of the notional payment shall constitute a loan owed by the Participant to the Employer, effective from the end of the Relevant Period. The Participant agrees that the loan will bear interest at HMRC’s official rate and will be immediately due and repayable by the Participant, and the Company and/or the Employer may recover it at any time thereafter by: (i) withholding the funds from salary, bonus or any other funds due to the Participant by the Employer; (ii) withholding Common Shares otherwise issuable upon vesting and/or exercise of the Award or all or a portion of the cash proceeds otherwise due to the Participant from the sale of Common Shares; or (iii) demanding cash or a cheque from the Participant. The Participant also authorizes the Company to delay the issuance of any Common Shares to the Participant unless and until the loan is repaid in full.</w:t>
      </w:r>
    </w:p>
    <w:p>
      <w:pPr>
        <w:spacing w:after="0" w:line="172" w:lineRule="exact"/>
        <w:rPr>
          <w:sz w:val="20"/>
          <w:szCs w:val="20"/>
          <w:color w:val="auto"/>
        </w:rPr>
      </w:pPr>
    </w:p>
    <w:p>
      <w:pPr>
        <w:jc w:val="both"/>
        <w:ind w:left="1492"/>
        <w:spacing w:after="0" w:line="255" w:lineRule="auto"/>
        <w:rPr>
          <w:sz w:val="20"/>
          <w:szCs w:val="20"/>
          <w:color w:val="auto"/>
        </w:rPr>
      </w:pPr>
      <w:r>
        <w:rPr>
          <w:rFonts w:ascii="Arial" w:cs="Arial" w:eastAsia="Arial" w:hAnsi="Arial"/>
          <w:sz w:val="18"/>
          <w:szCs w:val="18"/>
          <w:i w:val="1"/>
          <w:iCs w:val="1"/>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full amount of any income tax arising in respect of any Taxable Event (to the extent such income tax pertains to a “notional payment” as defined in Section 222(1)</w:t>
      </w:r>
    </w:p>
    <w:p>
      <w:pPr>
        <w:jc w:val="both"/>
        <w:ind w:left="1492"/>
        <w:spacing w:after="0" w:line="256" w:lineRule="auto"/>
        <w:rPr>
          <w:sz w:val="20"/>
          <w:szCs w:val="20"/>
          <w:color w:val="auto"/>
        </w:rPr>
      </w:pPr>
      <w:r>
        <w:rPr>
          <w:rFonts w:ascii="Arial" w:cs="Arial" w:eastAsia="Arial" w:hAnsi="Arial"/>
          <w:sz w:val="18"/>
          <w:szCs w:val="18"/>
          <w:i w:val="1"/>
          <w:iCs w:val="1"/>
          <w:color w:val="auto"/>
        </w:rPr>
        <w:t>(a) of ITEPA) is not collected from or paid by the Participant within ninety (90) days after the end of the tax year in which the notional payment is treated as having been made (for the purposes of Section 222 of ITEPA), or such other period specified in Section 222(1)(c) of ITEPA, the amount of any uncollected income tax may constitute a benefit to the Participant on which additional income tax and National Insurance contributions may be payable. The Participant acknowledges that the Company or the Employer may recover any such additional income tax and (to the extent permitted by law) National Insurance contributions at any time thereafter by any of the means referred to in the Sub-Plan</w:t>
      </w:r>
      <w:r>
        <w:rPr>
          <w:rFonts w:ascii="Arial" w:cs="Arial" w:eastAsia="Arial" w:hAnsi="Arial"/>
          <w:sz w:val="18"/>
          <w:szCs w:val="18"/>
          <w:color w:val="auto"/>
        </w:rPr>
        <w:t>.”</w:t>
      </w:r>
    </w:p>
    <w:p>
      <w:pPr>
        <w:spacing w:after="0" w:line="171" w:lineRule="exact"/>
        <w:rPr>
          <w:sz w:val="20"/>
          <w:szCs w:val="20"/>
          <w:color w:val="auto"/>
        </w:rPr>
      </w:pPr>
    </w:p>
    <w:p>
      <w:pPr>
        <w:ind w:left="1492" w:hanging="743"/>
        <w:spacing w:after="0"/>
        <w:tabs>
          <w:tab w:leader="none" w:pos="1492" w:val="left"/>
        </w:tabs>
        <w:numPr>
          <w:ilvl w:val="1"/>
          <w:numId w:val="13"/>
        </w:numPr>
        <w:rPr>
          <w:rFonts w:ascii="Arial" w:cs="Arial" w:eastAsia="Arial" w:hAnsi="Arial"/>
          <w:sz w:val="20"/>
          <w:szCs w:val="20"/>
          <w:color w:val="auto"/>
        </w:rPr>
      </w:pPr>
      <w:r>
        <w:rPr>
          <w:rFonts w:ascii="Arial" w:cs="Arial" w:eastAsia="Arial" w:hAnsi="Arial"/>
          <w:sz w:val="20"/>
          <w:szCs w:val="20"/>
          <w:color w:val="auto"/>
        </w:rPr>
        <w:t>Section 9.10 of the Plan will not apply to the Sub-Plan.</w:t>
      </w:r>
    </w:p>
    <w:p>
      <w:pPr>
        <w:spacing w:after="0" w:line="196" w:lineRule="exact"/>
        <w:rPr>
          <w:rFonts w:ascii="Arial" w:cs="Arial" w:eastAsia="Arial" w:hAnsi="Arial"/>
          <w:sz w:val="20"/>
          <w:szCs w:val="20"/>
          <w:color w:val="auto"/>
        </w:rPr>
      </w:pPr>
    </w:p>
    <w:p>
      <w:pPr>
        <w:ind w:left="752" w:hanging="752"/>
        <w:spacing w:after="0"/>
        <w:tabs>
          <w:tab w:leader="none" w:pos="752"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b w:val="1"/>
          <w:bCs w:val="1"/>
          <w:color w:val="auto"/>
        </w:rPr>
      </w:pPr>
    </w:p>
    <w:p>
      <w:pPr>
        <w:ind w:left="1492" w:right="20" w:hanging="743"/>
        <w:spacing w:after="0" w:line="246" w:lineRule="auto"/>
        <w:tabs>
          <w:tab w:leader="none" w:pos="1492"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provisions of Article 10 of the Plan shall apply to this Sub-Plan as if references to the Plan are references to the Sub-Plan.</w:t>
      </w:r>
    </w:p>
    <w:p>
      <w:pPr>
        <w:spacing w:after="0" w:line="176" w:lineRule="exact"/>
        <w:rPr>
          <w:rFonts w:ascii="Arial" w:cs="Arial" w:eastAsia="Arial" w:hAnsi="Arial"/>
          <w:sz w:val="20"/>
          <w:szCs w:val="20"/>
          <w:color w:val="auto"/>
        </w:rPr>
      </w:pPr>
    </w:p>
    <w:p>
      <w:pPr>
        <w:ind w:left="1492" w:hanging="743"/>
        <w:spacing w:after="0"/>
        <w:tabs>
          <w:tab w:leader="none" w:pos="1492"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following language set out below is in addition to the terms of Section 10.1:</w:t>
      </w:r>
    </w:p>
    <w:p>
      <w:pPr>
        <w:spacing w:after="0" w:line="202" w:lineRule="exact"/>
        <w:rPr>
          <w:rFonts w:ascii="Arial" w:cs="Arial" w:eastAsia="Arial" w:hAnsi="Arial"/>
          <w:sz w:val="20"/>
          <w:szCs w:val="20"/>
          <w:color w:val="auto"/>
        </w:rPr>
      </w:pPr>
    </w:p>
    <w:p>
      <w:pPr>
        <w:ind w:left="1492"/>
        <w:spacing w:after="0" w:line="300" w:lineRule="auto"/>
        <w:rPr>
          <w:rFonts w:ascii="Arial" w:cs="Arial" w:eastAsia="Arial" w:hAnsi="Arial"/>
          <w:sz w:val="20"/>
          <w:szCs w:val="20"/>
          <w:color w:val="auto"/>
        </w:rPr>
      </w:pPr>
      <w:r>
        <w:rPr>
          <w:rFonts w:ascii="Arial" w:cs="Arial" w:eastAsia="Arial" w:hAnsi="Arial"/>
          <w:sz w:val="18"/>
          <w:szCs w:val="18"/>
          <w:i w:val="1"/>
          <w:iCs w:val="1"/>
          <w:color w:val="auto"/>
        </w:rPr>
        <w:t>“Neither the Sub-Plan nor any Award made under the Sub-Plan shall give the Participant any rights to compensation or damages including, without limitation, for any loss or potential loss that the Participant may suffer by reason of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612140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6" w:right="339" w:bottom="1440" w:gutter="0" w:footer="0" w:header="0"/>
        </w:sectPr>
      </w:pPr>
    </w:p>
    <w:bookmarkStart w:id="36" w:name="page37"/>
    <w:bookmarkEnd w:id="36"/>
    <w:p>
      <w:pPr>
        <w:jc w:val="both"/>
        <w:ind w:left="1492"/>
        <w:spacing w:after="0" w:line="237" w:lineRule="auto"/>
        <w:rPr>
          <w:sz w:val="20"/>
          <w:szCs w:val="20"/>
          <w:color w:val="auto"/>
        </w:rPr>
      </w:pPr>
      <w:r>
        <w:rPr>
          <w:rFonts w:ascii="Arial" w:cs="Arial" w:eastAsia="Arial" w:hAnsi="Arial"/>
          <w:sz w:val="20"/>
          <w:szCs w:val="20"/>
          <w:i w:val="1"/>
          <w:iCs w:val="1"/>
          <w:color w:val="auto"/>
        </w:rPr>
        <w:t>unable to exercise any Option or forfeiting any Award or Common Stock as a result of the termination of the Sub-Plan, the lapsing or termination of an Award or the Participant’s Termination of Service including where any Termination of Service is subsequently held to be wrongful or unfair.”</w:t>
      </w:r>
    </w:p>
    <w:p>
      <w:pPr>
        <w:spacing w:after="0" w:line="183" w:lineRule="exact"/>
        <w:rPr>
          <w:sz w:val="20"/>
          <w:szCs w:val="20"/>
          <w:color w:val="auto"/>
        </w:rPr>
      </w:pPr>
    </w:p>
    <w:p>
      <w:pPr>
        <w:ind w:left="1492" w:hanging="743"/>
        <w:spacing w:after="0" w:line="272" w:lineRule="auto"/>
        <w:tabs>
          <w:tab w:leader="none" w:pos="1492"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Company and any Subsidiary will collect and process information relating to employees based in the United Kingdom in accordance with the privacy notice which is available on the Company’s intranet and internet sites.</w:t>
      </w:r>
    </w:p>
    <w:p>
      <w:pPr>
        <w:spacing w:after="0" w:line="152" w:lineRule="exact"/>
        <w:rPr>
          <w:rFonts w:ascii="Arial" w:cs="Arial" w:eastAsia="Arial" w:hAnsi="Arial"/>
          <w:sz w:val="19"/>
          <w:szCs w:val="19"/>
          <w:color w:val="auto"/>
        </w:rPr>
      </w:pPr>
    </w:p>
    <w:p>
      <w:pPr>
        <w:ind w:left="1492" w:hanging="743"/>
        <w:spacing w:after="0" w:line="246" w:lineRule="auto"/>
        <w:tabs>
          <w:tab w:leader="none" w:pos="1492"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provisions of Section 10.6 of the Plan shall only apply to Awards under the Sub-Plan to the extent such Awards are, in the opinion of the Administrator, subject to Section 409A of the Code.</w:t>
      </w:r>
    </w:p>
    <w:p>
      <w:pPr>
        <w:spacing w:after="0" w:line="170" w:lineRule="exact"/>
        <w:rPr>
          <w:rFonts w:ascii="Arial" w:cs="Arial" w:eastAsia="Arial" w:hAnsi="Arial"/>
          <w:sz w:val="20"/>
          <w:szCs w:val="20"/>
          <w:color w:val="auto"/>
        </w:rPr>
      </w:pPr>
    </w:p>
    <w:p>
      <w:pPr>
        <w:ind w:left="752" w:hanging="752"/>
        <w:spacing w:after="0"/>
        <w:tabs>
          <w:tab w:leader="none" w:pos="752"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08" w:lineRule="exact"/>
        <w:rPr>
          <w:rFonts w:ascii="Arial" w:cs="Arial" w:eastAsia="Arial" w:hAnsi="Arial"/>
          <w:sz w:val="20"/>
          <w:szCs w:val="20"/>
          <w:b w:val="1"/>
          <w:bCs w:val="1"/>
          <w:color w:val="auto"/>
        </w:rPr>
      </w:pPr>
    </w:p>
    <w:p>
      <w:pPr>
        <w:ind w:left="1492" w:hanging="743"/>
        <w:spacing w:after="0" w:line="246" w:lineRule="auto"/>
        <w:tabs>
          <w:tab w:leader="none" w:pos="1492" w:val="left"/>
        </w:tabs>
        <w:numPr>
          <w:ilvl w:val="1"/>
          <w:numId w:val="16"/>
        </w:numPr>
        <w:rPr>
          <w:rFonts w:ascii="Arial" w:cs="Arial" w:eastAsia="Arial" w:hAnsi="Arial"/>
          <w:sz w:val="20"/>
          <w:szCs w:val="20"/>
          <w:color w:val="auto"/>
        </w:rPr>
      </w:pPr>
      <w:r>
        <w:rPr>
          <w:rFonts w:ascii="Arial" w:cs="Arial" w:eastAsia="Arial" w:hAnsi="Arial"/>
          <w:sz w:val="20"/>
          <w:szCs w:val="20"/>
          <w:color w:val="auto"/>
        </w:rPr>
        <w:t>Except as set out below, the provisions of Article 11 of the Plan shall apply to this Sub-Plan as if references to the Plan are references to the Sub-Plan.</w:t>
      </w:r>
    </w:p>
    <w:p>
      <w:pPr>
        <w:spacing w:after="0" w:line="170" w:lineRule="exact"/>
        <w:rPr>
          <w:rFonts w:ascii="Arial" w:cs="Arial" w:eastAsia="Arial" w:hAnsi="Arial"/>
          <w:sz w:val="20"/>
          <w:szCs w:val="20"/>
          <w:color w:val="auto"/>
        </w:rPr>
      </w:pPr>
    </w:p>
    <w:p>
      <w:pPr>
        <w:jc w:val="both"/>
        <w:ind w:left="1492" w:hanging="743"/>
        <w:spacing w:after="0" w:line="256" w:lineRule="auto"/>
        <w:tabs>
          <w:tab w:leader="none" w:pos="14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Section 11.6 (“</w:t>
      </w:r>
      <w:r>
        <w:rPr>
          <w:rFonts w:ascii="Arial" w:cs="Arial" w:eastAsia="Arial" w:hAnsi="Arial"/>
          <w:sz w:val="18"/>
          <w:szCs w:val="18"/>
          <w:b w:val="1"/>
          <w:bCs w:val="1"/>
          <w:color w:val="auto"/>
        </w:rPr>
        <w:t>Cause</w:t>
      </w:r>
      <w:r>
        <w:rPr>
          <w:rFonts w:ascii="Arial" w:cs="Arial" w:eastAsia="Arial" w:hAnsi="Arial"/>
          <w:sz w:val="18"/>
          <w:szCs w:val="18"/>
          <w:color w:val="auto"/>
        </w:rPr>
        <w:t>”) shall mean (i) if a Participant is a party to a written employment or consulting agreement with the Company or any of its Subsidiaries or an Award Agreement in which the term “cause” is defined (a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t>
      </w:r>
      <w:r>
        <w:rPr>
          <w:rFonts w:ascii="Arial" w:cs="Arial" w:eastAsia="Arial" w:hAnsi="Arial"/>
          <w:sz w:val="18"/>
          <w:szCs w:val="18"/>
          <w:b w:val="1"/>
          <w:bCs w:val="1"/>
          <w:color w:val="auto"/>
        </w:rPr>
        <w:t>Cause</w:t>
      </w:r>
      <w:r>
        <w:rPr>
          <w:rFonts w:ascii="Arial" w:cs="Arial" w:eastAsia="Arial" w:hAnsi="Arial"/>
          <w:sz w:val="18"/>
          <w:szCs w:val="18"/>
          <w:color w:val="auto"/>
        </w:rPr>
        <w:t>” as defined in the Relevant Agreement, and (ii) if no Relevant Agreement exists, (A)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determination that the Participant has committed gross neglect or willful misconduct of the Participant’s duties; (B) the Administrator’s determination that the Participant failed to carry out, or comply with any lawful and reasonable directive of the Board or the Participant’s immediate supervisor; (C) conviction of the Participant of a criminal offence (other than in connection with a traffic violation that does not result in imprisonment);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69" w:lineRule="exact"/>
        <w:rPr>
          <w:rFonts w:ascii="Arial" w:cs="Arial" w:eastAsia="Arial" w:hAnsi="Arial"/>
          <w:sz w:val="18"/>
          <w:szCs w:val="18"/>
          <w:color w:val="auto"/>
        </w:rPr>
      </w:pPr>
    </w:p>
    <w:p>
      <w:pPr>
        <w:ind w:left="1492" w:hanging="743"/>
        <w:spacing w:after="0"/>
        <w:tabs>
          <w:tab w:leader="none" w:pos="1492" w:val="left"/>
        </w:tabs>
        <w:numPr>
          <w:ilvl w:val="1"/>
          <w:numId w:val="16"/>
        </w:numPr>
        <w:rPr>
          <w:rFonts w:ascii="Arial" w:cs="Arial" w:eastAsia="Arial" w:hAnsi="Arial"/>
          <w:sz w:val="20"/>
          <w:szCs w:val="20"/>
          <w:color w:val="auto"/>
        </w:rPr>
      </w:pPr>
      <w:r>
        <w:rPr>
          <w:rFonts w:ascii="Arial" w:cs="Arial" w:eastAsia="Arial" w:hAnsi="Arial"/>
          <w:sz w:val="20"/>
          <w:szCs w:val="20"/>
          <w:color w:val="auto"/>
        </w:rPr>
        <w:t>Section 11.12 (“</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shall not apply to this Sub-Plan.</w:t>
      </w:r>
    </w:p>
    <w:p>
      <w:pPr>
        <w:spacing w:after="0" w:line="202" w:lineRule="exact"/>
        <w:rPr>
          <w:rFonts w:ascii="Arial" w:cs="Arial" w:eastAsia="Arial" w:hAnsi="Arial"/>
          <w:sz w:val="20"/>
          <w:szCs w:val="20"/>
          <w:color w:val="auto"/>
        </w:rPr>
      </w:pPr>
    </w:p>
    <w:p>
      <w:pPr>
        <w:ind w:left="1492" w:hanging="743"/>
        <w:spacing w:after="0"/>
        <w:tabs>
          <w:tab w:leader="none" w:pos="1492" w:val="left"/>
        </w:tabs>
        <w:numPr>
          <w:ilvl w:val="1"/>
          <w:numId w:val="16"/>
        </w:numPr>
        <w:rPr>
          <w:rFonts w:ascii="Arial" w:cs="Arial" w:eastAsia="Arial" w:hAnsi="Arial"/>
          <w:sz w:val="20"/>
          <w:szCs w:val="20"/>
          <w:color w:val="auto"/>
        </w:rPr>
      </w:pPr>
      <w:r>
        <w:rPr>
          <w:rFonts w:ascii="Arial" w:cs="Arial" w:eastAsia="Arial" w:hAnsi="Arial"/>
          <w:sz w:val="20"/>
          <w:szCs w:val="20"/>
          <w:color w:val="auto"/>
        </w:rPr>
        <w:t>Section 11.38 (“</w:t>
      </w:r>
      <w:r>
        <w:rPr>
          <w:rFonts w:ascii="Arial" w:cs="Arial" w:eastAsia="Arial" w:hAnsi="Arial"/>
          <w:sz w:val="20"/>
          <w:szCs w:val="20"/>
          <w:b w:val="1"/>
          <w:bCs w:val="1"/>
          <w:i w:val="1"/>
          <w:iCs w:val="1"/>
          <w:color w:val="auto"/>
        </w:rPr>
        <w:t>Service Provider</w:t>
      </w:r>
      <w:r>
        <w:rPr>
          <w:rFonts w:ascii="Arial" w:cs="Arial" w:eastAsia="Arial" w:hAnsi="Arial"/>
          <w:sz w:val="20"/>
          <w:szCs w:val="20"/>
          <w:color w:val="auto"/>
        </w:rPr>
        <w:t>”) shall mean an Employee.</w:t>
      </w:r>
    </w:p>
    <w:p>
      <w:pPr>
        <w:spacing w:after="0" w:line="202" w:lineRule="exact"/>
        <w:rPr>
          <w:rFonts w:ascii="Arial" w:cs="Arial" w:eastAsia="Arial" w:hAnsi="Arial"/>
          <w:sz w:val="20"/>
          <w:szCs w:val="20"/>
          <w:color w:val="auto"/>
        </w:rPr>
      </w:pPr>
    </w:p>
    <w:p>
      <w:pPr>
        <w:ind w:left="1492" w:hanging="743"/>
        <w:spacing w:after="0" w:line="272" w:lineRule="auto"/>
        <w:tabs>
          <w:tab w:leader="none" w:pos="1492" w:val="left"/>
        </w:tabs>
        <w:numPr>
          <w:ilvl w:val="1"/>
          <w:numId w:val="16"/>
        </w:numPr>
        <w:rPr>
          <w:rFonts w:ascii="Arial" w:cs="Arial" w:eastAsia="Arial" w:hAnsi="Arial"/>
          <w:sz w:val="19"/>
          <w:szCs w:val="19"/>
          <w:color w:val="auto"/>
        </w:rPr>
      </w:pPr>
      <w:r>
        <w:rPr>
          <w:rFonts w:ascii="Arial" w:cs="Arial" w:eastAsia="Arial" w:hAnsi="Arial"/>
          <w:sz w:val="19"/>
          <w:szCs w:val="19"/>
          <w:color w:val="auto"/>
        </w:rPr>
        <w:t>Wherever the following terms are: (i) used in the Sub-Plan; or (ii) used in the Plan but apply to Awards made under the Sub-Plan, they shall have the meanings specified below, unless the context clearly indicates otherwise:</w:t>
      </w:r>
    </w:p>
    <w:p>
      <w:pPr>
        <w:spacing w:after="0" w:line="152" w:lineRule="exact"/>
        <w:rPr>
          <w:rFonts w:ascii="Arial" w:cs="Arial" w:eastAsia="Arial" w:hAnsi="Arial"/>
          <w:sz w:val="19"/>
          <w:szCs w:val="19"/>
          <w:color w:val="auto"/>
        </w:rPr>
      </w:pPr>
    </w:p>
    <w:p>
      <w:pPr>
        <w:ind w:left="2212" w:hanging="737"/>
        <w:spacing w:after="0" w:line="300" w:lineRule="auto"/>
        <w:tabs>
          <w:tab w:leader="none" w:pos="2212"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Sub-Plan of Options, Stock Appreciation Rights, Restricted Stock, Restricted Stock Units, Dividend Equivalents or Other Stock or Cash Based Awards;</w:t>
      </w:r>
    </w:p>
    <w:p>
      <w:pPr>
        <w:spacing w:after="0" w:line="130" w:lineRule="exact"/>
        <w:rPr>
          <w:rFonts w:ascii="Arial" w:cs="Arial" w:eastAsia="Arial" w:hAnsi="Arial"/>
          <w:sz w:val="18"/>
          <w:szCs w:val="18"/>
          <w:color w:val="auto"/>
        </w:rPr>
      </w:pPr>
    </w:p>
    <w:p>
      <w:pPr>
        <w:ind w:left="2252" w:hanging="777"/>
        <w:spacing w:after="0"/>
        <w:tabs>
          <w:tab w:leader="none" w:pos="2252" w:val="left"/>
        </w:tabs>
        <w:numPr>
          <w:ilvl w:val="2"/>
          <w:numId w:val="1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Service Provider</w:t>
      </w:r>
      <w:r>
        <w:rPr>
          <w:rFonts w:ascii="Arial" w:cs="Arial" w:eastAsia="Arial" w:hAnsi="Arial"/>
          <w:sz w:val="20"/>
          <w:szCs w:val="20"/>
          <w:color w:val="auto"/>
        </w:rPr>
        <w:t>” shall mean any person who is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854710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6"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206375</wp:posOffset>
            </wp:positionH>
            <wp:positionV relativeFrom="page">
              <wp:posOffset>241300</wp:posOffset>
            </wp:positionV>
            <wp:extent cx="7136130" cy="424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36130" cy="424180"/>
                    </a:xfrm>
                    <a:prstGeom prst="rect">
                      <a:avLst/>
                    </a:prstGeom>
                    <a:noFill/>
                  </pic:spPr>
                </pic:pic>
              </a:graphicData>
            </a:graphic>
          </wp:anchor>
        </w:drawing>
        <w:t>SIGHT SCIENCES,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INCENTIVE AWARD PLAN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OPTION GRANT NOTICE</w:t>
      </w:r>
    </w:p>
    <w:p>
      <w:pPr>
        <w:spacing w:after="0" w:line="20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Capitalized terms not specifically defined in this Stock Option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2021 Incentive Award Plan Sub-Plan for UK employees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Sight 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stock option described in this Grant Notice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xml:space="preserve">”), subject to the terms and conditions of the Plan and the Stock Option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Exercise Price per Share: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Shares Subject to the Option:</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Final Expiration Date: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Schedule: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Type of Option:</w:t>
      </w:r>
    </w:p>
    <w:p>
      <w:pPr>
        <w:spacing w:after="0" w:line="200" w:lineRule="exact"/>
        <w:rPr>
          <w:sz w:val="20"/>
          <w:szCs w:val="20"/>
          <w:color w:val="auto"/>
        </w:rPr>
      </w:pPr>
    </w:p>
    <w:p>
      <w:pPr>
        <w:spacing w:after="0" w:line="251"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94" w:lineRule="exact"/>
        <w:rPr>
          <w:sz w:val="20"/>
          <w:szCs w:val="20"/>
          <w:color w:val="auto"/>
        </w:rPr>
      </w:pPr>
    </w:p>
    <w:p>
      <w:pPr>
        <w:ind w:left="100"/>
        <w:spacing w:after="0"/>
        <w:tabs>
          <w:tab w:leader="none" w:pos="5720" w:val="left"/>
        </w:tabs>
        <w:rPr>
          <w:sz w:val="20"/>
          <w:szCs w:val="20"/>
          <w:color w:val="auto"/>
        </w:rPr>
      </w:pPr>
      <w:r>
        <w:rPr>
          <w:rFonts w:ascii="Arial" w:cs="Arial" w:eastAsia="Arial" w:hAnsi="Arial"/>
          <w:sz w:val="20"/>
          <w:szCs w:val="20"/>
          <w:b w:val="1"/>
          <w:bCs w:val="1"/>
          <w:color w:val="auto"/>
        </w:rPr>
        <w:t>SIGHT SCIENCES, INC.</w:t>
      </w:r>
      <w:r>
        <w:rPr>
          <w:sz w:val="20"/>
          <w:szCs w:val="20"/>
          <w:color w:val="auto"/>
        </w:rPr>
        <w:tab/>
      </w:r>
      <w:r>
        <w:rPr>
          <w:rFonts w:ascii="Arial" w:cs="Arial" w:eastAsia="Arial" w:hAnsi="Arial"/>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Name:</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0"/>
          <w:szCs w:val="20"/>
          <w:b w:val="1"/>
          <w:bCs w:val="1"/>
          <w:color w:val="auto"/>
        </w:rPr>
        <w:t>STOCK OPTION AGREEMENT</w:t>
      </w:r>
    </w:p>
    <w:p>
      <w:pPr>
        <w:spacing w:after="0" w:line="20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I.1</w:t>
      </w: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has granted to Participant the Option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w:t>
      </w:r>
    </w:p>
    <w:p>
      <w:pPr>
        <w:spacing w:after="0" w:line="177"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I.2</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II.1</w:t>
      </w:r>
      <w:r>
        <w:rPr>
          <w:rFonts w:ascii="Arial" w:cs="Arial" w:eastAsia="Arial" w:hAnsi="Arial"/>
          <w:sz w:val="19"/>
          <w:szCs w:val="19"/>
          <w:u w:val="single" w:color="auto"/>
          <w:color w:val="auto"/>
        </w:rPr>
        <w:t>Commencement of Exercisability</w:t>
      </w:r>
      <w:r>
        <w:rPr>
          <w:rFonts w:ascii="Arial" w:cs="Arial" w:eastAsia="Arial" w:hAnsi="Arial"/>
          <w:sz w:val="19"/>
          <w:szCs w:val="19"/>
          <w:color w:val="auto"/>
        </w:rPr>
        <w:t>. The Option will vest and become exercisable according to the vesting schedule in the Grant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76" w:lineRule="exact"/>
        <w:rPr>
          <w:sz w:val="20"/>
          <w:szCs w:val="20"/>
          <w:color w:val="auto"/>
        </w:rPr>
      </w:pPr>
    </w:p>
    <w:p>
      <w:pPr>
        <w:jc w:val="both"/>
        <w:ind w:right="20"/>
        <w:spacing w:after="0" w:line="272" w:lineRule="auto"/>
        <w:rPr>
          <w:sz w:val="20"/>
          <w:szCs w:val="20"/>
          <w:color w:val="auto"/>
        </w:rPr>
      </w:pPr>
      <w:r>
        <w:rPr>
          <w:rFonts w:ascii="Arial" w:cs="Arial" w:eastAsia="Arial" w:hAnsi="Arial"/>
          <w:sz w:val="19"/>
          <w:szCs w:val="19"/>
          <w:color w:val="auto"/>
        </w:rPr>
        <w:t>II.2</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II.3</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The Option may not be exercised to any extent by anyone after, and will expire on, the first of the following to occur: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(a)The final expiration date in the Grant Notice;</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(c)Except as the Administrator may otherwise approve, the expiration of one (1) year from the date of Participant’s Termination of Service by reason of Participant’s death or Disability; and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(d)Except as the Administrator may otherwise approve, Participant’s Termination of Service for Cause.</w:t>
      </w:r>
    </w:p>
    <w:p>
      <w:pPr>
        <w:spacing w:after="0" w:line="196"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III.1</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jc w:val="both"/>
        <w:spacing w:after="0" w:line="237" w:lineRule="auto"/>
        <w:rPr>
          <w:sz w:val="20"/>
          <w:szCs w:val="20"/>
          <w:color w:val="auto"/>
        </w:rPr>
      </w:pPr>
      <w:r>
        <w:rPr>
          <w:rFonts w:ascii="Arial" w:cs="Arial" w:eastAsia="Arial" w:hAnsi="Arial"/>
          <w:sz w:val="20"/>
          <w:szCs w:val="20"/>
          <w:color w:val="auto"/>
        </w:rPr>
        <w:t>III.2</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III.3</w:t>
      </w: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(b)Participant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(c)Participant agrees to indemnify and keep indemnified the Company and any Subsidiary, including Participant’s employing company from and against any Tax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IV.1</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IV.2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IV.3</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IV.4</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IV.5</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and inure to the benefit of the heirs, legatees, legal representatives, successors and assigns of the parties hereto.</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20"/>
          <w:szCs w:val="20"/>
          <w:color w:val="auto"/>
        </w:rPr>
        <w:t>IV.6</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20"/>
          <w:szCs w:val="20"/>
          <w:color w:val="auto"/>
        </w:rPr>
        <w:t>‑</w:t>
      </w:r>
      <w:r>
        <w:rPr>
          <w:rFonts w:ascii="Arial" w:cs="Arial" w:eastAsia="Arial" w:hAnsi="Arial"/>
          <w:sz w:val="20"/>
          <w:szCs w:val="20"/>
          <w:color w:val="auto"/>
        </w:rPr>
        <w:t>3) that are requirements for the application of such exemptive rule. To the extent Applicable Laws permit, this Agreement will be deemed amended as necessary to conform to such applicable exemptive rule.</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IV.7</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IV.8</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IV.9</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3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IV.10</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IV.11</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IV.12</w:t>
      </w:r>
      <w:r>
        <w:rPr>
          <w:rFonts w:ascii="Arial" w:cs="Arial" w:eastAsia="Arial" w:hAnsi="Arial"/>
          <w:sz w:val="20"/>
          <w:szCs w:val="20"/>
          <w:u w:val="single" w:color="auto"/>
          <w:color w:val="auto"/>
        </w:rPr>
        <w:t>Data Protection</w:t>
      </w:r>
      <w:r>
        <w:rPr>
          <w:rFonts w:ascii="Arial" w:cs="Arial" w:eastAsia="Arial" w:hAnsi="Arial"/>
          <w:sz w:val="20"/>
          <w:szCs w:val="20"/>
          <w:color w:val="auto"/>
        </w:rPr>
        <w:t>. The Company will collect and process information relating to Participant in accordance with applicable data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-31115</wp:posOffset>
            </wp:positionV>
            <wp:extent cx="31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206375</wp:posOffset>
            </wp:positionH>
            <wp:positionV relativeFrom="page">
              <wp:posOffset>361315</wp:posOffset>
            </wp:positionV>
            <wp:extent cx="7136130" cy="424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36130" cy="424180"/>
                    </a:xfrm>
                    <a:prstGeom prst="rect">
                      <a:avLst/>
                    </a:prstGeom>
                    <a:noFill/>
                  </pic:spPr>
                </pic:pic>
              </a:graphicData>
            </a:graphic>
          </wp:anchor>
        </w:drawing>
        <w:t>SIGHT SCIENCES,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INCENTIVE AWARD PLAN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UNIT GRANT NOTICE</w:t>
      </w:r>
    </w:p>
    <w:p>
      <w:pPr>
        <w:spacing w:after="0" w:line="20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Capitalized terms not specifically defined in this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2021 Incentive Award Plan Sub-Plan for UK employees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Sight 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3" w:lineRule="exact"/>
        <w:rPr>
          <w:sz w:val="20"/>
          <w:szCs w:val="20"/>
          <w:color w:val="auto"/>
        </w:rPr>
      </w:pPr>
    </w:p>
    <w:p>
      <w:pPr>
        <w:jc w:val="both"/>
        <w:ind w:right="20" w:firstLine="749"/>
        <w:spacing w:after="0" w:line="237"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Restricted Stock Units described in this Grant Notice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xml:space="preserve">”), subject to the terms and conditions of the Plan and the Restricted Stock Unit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Number of RSUs: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Schedule:</w:t>
      </w:r>
    </w:p>
    <w:p>
      <w:pPr>
        <w:spacing w:after="0" w:line="200" w:lineRule="exact"/>
        <w:rPr>
          <w:sz w:val="20"/>
          <w:szCs w:val="20"/>
          <w:color w:val="auto"/>
        </w:rPr>
      </w:pPr>
    </w:p>
    <w:p>
      <w:pPr>
        <w:spacing w:after="0" w:line="251"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94" w:lineRule="exact"/>
        <w:rPr>
          <w:sz w:val="20"/>
          <w:szCs w:val="20"/>
          <w:color w:val="auto"/>
        </w:rPr>
      </w:pPr>
    </w:p>
    <w:p>
      <w:pPr>
        <w:ind w:left="100"/>
        <w:spacing w:after="0"/>
        <w:tabs>
          <w:tab w:leader="none" w:pos="5720" w:val="left"/>
        </w:tabs>
        <w:rPr>
          <w:sz w:val="20"/>
          <w:szCs w:val="20"/>
          <w:color w:val="auto"/>
        </w:rPr>
      </w:pPr>
      <w:r>
        <w:rPr>
          <w:rFonts w:ascii="Arial" w:cs="Arial" w:eastAsia="Arial" w:hAnsi="Arial"/>
          <w:sz w:val="20"/>
          <w:szCs w:val="20"/>
          <w:b w:val="1"/>
          <w:bCs w:val="1"/>
          <w:color w:val="auto"/>
        </w:rPr>
        <w:t>SIGHT SCIENCES, INC.</w:t>
      </w:r>
      <w:r>
        <w:rPr>
          <w:sz w:val="20"/>
          <w:szCs w:val="20"/>
          <w:color w:val="auto"/>
        </w:rPr>
        <w:tab/>
      </w:r>
      <w:r>
        <w:rPr>
          <w:rFonts w:ascii="Arial" w:cs="Arial" w:eastAsia="Arial" w:hAnsi="Arial"/>
          <w:sz w:val="19"/>
          <w:szCs w:val="19"/>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Name:</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b w:val="1"/>
          <w:bCs w:val="1"/>
          <w:color w:val="auto"/>
        </w:rPr>
        <w:t>RESTRICTED STOCK UNIT AGREEMENT</w:t>
      </w:r>
    </w:p>
    <w:p>
      <w:pPr>
        <w:spacing w:after="0" w:line="208" w:lineRule="exact"/>
        <w:rPr>
          <w:sz w:val="20"/>
          <w:szCs w:val="20"/>
          <w:color w:val="auto"/>
        </w:rPr>
      </w:pPr>
    </w:p>
    <w:p>
      <w:pPr>
        <w:ind w:firstLine="749"/>
        <w:spacing w:after="0" w:line="246"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GENERAL</w:t>
      </w:r>
    </w:p>
    <w:p>
      <w:pPr>
        <w:spacing w:after="0" w:line="18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u w:val="single" w:color="auto"/>
          <w:color w:val="auto"/>
        </w:rPr>
        <w:t>I.1</w:t>
      </w:r>
      <w:r>
        <w:rPr>
          <w:sz w:val="20"/>
          <w:szCs w:val="20"/>
          <w:color w:val="auto"/>
        </w:rPr>
        <w:tab/>
      </w:r>
      <w:r>
        <w:rPr>
          <w:rFonts w:ascii="Arial" w:cs="Arial" w:eastAsia="Arial" w:hAnsi="Arial"/>
          <w:sz w:val="20"/>
          <w:szCs w:val="20"/>
          <w:u w:val="single" w:color="auto"/>
          <w:color w:val="auto"/>
        </w:rPr>
        <w:t>Award of RSUs and Dividend Equivalents</w:t>
      </w:r>
      <w:r>
        <w:rPr>
          <w:rFonts w:ascii="Arial" w:cs="Arial" w:eastAsia="Arial" w:hAnsi="Arial"/>
          <w:sz w:val="20"/>
          <w:szCs w:val="20"/>
          <w:color w:val="auto"/>
        </w:rPr>
        <w:t>.</w:t>
      </w:r>
    </w:p>
    <w:p>
      <w:pPr>
        <w:spacing w:after="0" w:line="202" w:lineRule="exact"/>
        <w:rPr>
          <w:sz w:val="20"/>
          <w:szCs w:val="20"/>
          <w:color w:val="auto"/>
        </w:rPr>
      </w:pPr>
    </w:p>
    <w:p>
      <w:pPr>
        <w:jc w:val="both"/>
        <w:ind w:firstLine="1505"/>
        <w:spacing w:after="0" w:line="234" w:lineRule="auto"/>
        <w:tabs>
          <w:tab w:leader="none" w:pos="29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Company has granted the RSUs to Participant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83" w:lineRule="exact"/>
        <w:rPr>
          <w:rFonts w:ascii="Arial" w:cs="Arial" w:eastAsia="Arial" w:hAnsi="Arial"/>
          <w:sz w:val="20"/>
          <w:szCs w:val="20"/>
          <w:color w:val="auto"/>
        </w:rPr>
      </w:pPr>
    </w:p>
    <w:p>
      <w:pPr>
        <w:jc w:val="both"/>
        <w:ind w:firstLine="1505"/>
        <w:spacing w:after="0" w:line="244" w:lineRule="auto"/>
        <w:tabs>
          <w:tab w:leader="none" w:pos="2995"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19"/>
          <w:szCs w:val="19"/>
          <w:b w:val="1"/>
          <w:bCs w:val="1"/>
          <w:i w:val="1"/>
          <w:iCs w:val="1"/>
          <w:color w:val="auto"/>
        </w:rPr>
        <w:t>Dividend Equivalent Account</w:t>
      </w:r>
      <w:r>
        <w:rPr>
          <w:rFonts w:ascii="Arial" w:cs="Arial" w:eastAsia="Arial" w:hAnsi="Arial"/>
          <w:sz w:val="19"/>
          <w:szCs w:val="19"/>
          <w:color w:val="auto"/>
        </w:rPr>
        <w:t>”) for each Dividend Equivalent and credit the Dividend Equivalent Account (without interest) on the applicable dividend payment date with the amount of any such cash paid.</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u w:val="single" w:color="auto"/>
          <w:color w:val="auto"/>
        </w:rPr>
        <w:t>I.2 Incorporation of Terms of Plan</w:t>
      </w:r>
      <w:r>
        <w:rPr>
          <w:rFonts w:ascii="Arial" w:cs="Arial" w:eastAsia="Arial" w:hAnsi="Arial"/>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u w:val="single" w:color="auto"/>
          <w:color w:val="auto"/>
        </w:rPr>
        <w:t>I.3 Unsecured Promise</w:t>
      </w:r>
      <w:r>
        <w:rPr>
          <w:rFonts w:ascii="Arial" w:cs="Arial" w:eastAsia="Arial" w:hAnsi="Arial"/>
          <w:sz w:val="20"/>
          <w:szCs w:val="20"/>
          <w:color w:val="auto"/>
        </w:rPr>
        <w:t>. The RSUs and Dividend Equivalents will at all times prior to settlement represent an unsecured Company obligation payable only from the Company’s general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VESTING; FORFEITURE AND SETTLEMENT</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u w:val="single" w:color="auto"/>
          <w:color w:val="auto"/>
        </w:rPr>
        <w:t>II.1 Vesting; Forfeiture</w:t>
      </w:r>
      <w:r>
        <w:rPr>
          <w:rFonts w:ascii="Arial" w:cs="Arial" w:eastAsia="Arial" w:hAnsi="Arial"/>
          <w:sz w:val="19"/>
          <w:szCs w:val="19"/>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79"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u w:val="single" w:color="auto"/>
          <w:color w:val="auto"/>
        </w:rPr>
        <w:t>II.2</w:t>
      </w:r>
      <w:r>
        <w:rPr>
          <w:sz w:val="20"/>
          <w:szCs w:val="20"/>
          <w:color w:val="auto"/>
        </w:rPr>
        <w:tab/>
      </w:r>
      <w:r>
        <w:rPr>
          <w:rFonts w:ascii="Arial" w:cs="Arial" w:eastAsia="Arial" w:hAnsi="Arial"/>
          <w:sz w:val="20"/>
          <w:szCs w:val="20"/>
          <w:u w:val="single" w:color="auto"/>
          <w:color w:val="auto"/>
        </w:rPr>
        <w:t>Settlement</w:t>
      </w:r>
      <w:r>
        <w:rPr>
          <w:rFonts w:ascii="Arial" w:cs="Arial" w:eastAsia="Arial" w:hAnsi="Arial"/>
          <w:sz w:val="20"/>
          <w:szCs w:val="20"/>
          <w:color w:val="auto"/>
        </w:rPr>
        <w:t>.</w:t>
      </w:r>
    </w:p>
    <w:p>
      <w:pPr>
        <w:spacing w:after="0" w:line="202" w:lineRule="exact"/>
        <w:rPr>
          <w:sz w:val="20"/>
          <w:szCs w:val="20"/>
          <w:color w:val="auto"/>
        </w:rPr>
      </w:pPr>
    </w:p>
    <w:p>
      <w:pPr>
        <w:jc w:val="both"/>
        <w:ind w:firstLine="1505"/>
        <w:spacing w:after="0" w:line="248" w:lineRule="auto"/>
        <w:tabs>
          <w:tab w:leader="none" w:pos="2995" w:val="left"/>
        </w:tabs>
        <w:numPr>
          <w:ilvl w:val="0"/>
          <w:numId w:val="18"/>
        </w:numPr>
        <w:rPr>
          <w:rFonts w:ascii="Arial" w:cs="Arial" w:eastAsia="Arial" w:hAnsi="Arial"/>
          <w:sz w:val="19"/>
          <w:szCs w:val="19"/>
          <w:color w:val="auto"/>
        </w:rPr>
      </w:pPr>
      <w:r>
        <w:rPr>
          <w:rFonts w:ascii="Arial" w:cs="Arial" w:eastAsia="Arial" w:hAnsi="Arial"/>
          <w:sz w:val="19"/>
          <w:szCs w:val="19"/>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line="300" w:lineRule="auto"/>
        <w:rPr>
          <w:sz w:val="20"/>
          <w:szCs w:val="20"/>
          <w:color w:val="auto"/>
        </w:rPr>
      </w:pPr>
      <w:r>
        <w:rPr>
          <w:rFonts w:ascii="Arial" w:cs="Arial" w:eastAsia="Arial" w:hAnsi="Arial"/>
          <w:sz w:val="18"/>
          <w:szCs w:val="18"/>
          <w:color w:val="auto"/>
        </w:rPr>
        <w:t>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31" w:lineRule="exact"/>
        <w:rPr>
          <w:sz w:val="20"/>
          <w:szCs w:val="20"/>
          <w:color w:val="auto"/>
        </w:rPr>
      </w:pPr>
    </w:p>
    <w:p>
      <w:pPr>
        <w:jc w:val="both"/>
        <w:ind w:firstLine="1505"/>
        <w:spacing w:after="0" w:line="267" w:lineRule="auto"/>
        <w:tabs>
          <w:tab w:leader="none" w:pos="29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18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u w:val="single" w:color="auto"/>
          <w:color w:val="auto"/>
        </w:rPr>
        <w:t>III.1 Representation</w:t>
      </w:r>
      <w:r>
        <w:rPr>
          <w:rFonts w:ascii="Arial" w:cs="Arial" w:eastAsia="Arial" w:hAnsi="Arial"/>
          <w:sz w:val="19"/>
          <w:szCs w:val="19"/>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7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u w:val="single" w:color="auto"/>
          <w:color w:val="auto"/>
        </w:rPr>
        <w:t>III.2</w:t>
      </w:r>
      <w:r>
        <w:rPr>
          <w:sz w:val="20"/>
          <w:szCs w:val="20"/>
          <w:color w:val="auto"/>
        </w:rPr>
        <w:tab/>
      </w: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202" w:lineRule="exact"/>
        <w:rPr>
          <w:sz w:val="20"/>
          <w:szCs w:val="20"/>
          <w:color w:val="auto"/>
        </w:rPr>
      </w:pPr>
    </w:p>
    <w:p>
      <w:pPr>
        <w:jc w:val="both"/>
        <w:ind w:firstLine="1505"/>
        <w:spacing w:after="0" w:line="234" w:lineRule="auto"/>
        <w:tabs>
          <w:tab w:leader="none" w:pos="29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83" w:lineRule="exact"/>
        <w:rPr>
          <w:rFonts w:ascii="Arial" w:cs="Arial" w:eastAsia="Arial" w:hAnsi="Arial"/>
          <w:sz w:val="20"/>
          <w:szCs w:val="20"/>
          <w:color w:val="auto"/>
        </w:rPr>
      </w:pPr>
    </w:p>
    <w:p>
      <w:pPr>
        <w:jc w:val="both"/>
        <w:ind w:firstLine="1505"/>
        <w:spacing w:after="0" w:line="244" w:lineRule="auto"/>
        <w:tabs>
          <w:tab w:leader="none" w:pos="2995" w:val="left"/>
        </w:tabs>
        <w:numPr>
          <w:ilvl w:val="0"/>
          <w:numId w:val="20"/>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79" w:lineRule="exact"/>
        <w:rPr>
          <w:rFonts w:ascii="Arial" w:cs="Arial" w:eastAsia="Arial" w:hAnsi="Arial"/>
          <w:sz w:val="19"/>
          <w:szCs w:val="19"/>
          <w:color w:val="auto"/>
        </w:rPr>
      </w:pPr>
    </w:p>
    <w:p>
      <w:pPr>
        <w:ind w:firstLine="1505"/>
        <w:spacing w:after="0" w:line="246" w:lineRule="auto"/>
        <w:tabs>
          <w:tab w:leader="none" w:pos="29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Participant agrees to indemnify and keep indemnified the Company and the Subsidiaries, including Participant’s employing company from and against any Tax Liability.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740" w:type="dxa"/>
            <w:vAlign w:val="bottom"/>
          </w:tcPr>
          <w:p>
            <w:pPr>
              <w:jc w:val="center"/>
              <w:ind w:right="2381"/>
              <w:spacing w:after="0"/>
              <w:rPr>
                <w:sz w:val="20"/>
                <w:szCs w:val="20"/>
                <w:color w:val="auto"/>
              </w:rPr>
            </w:pPr>
            <w:r>
              <w:rPr>
                <w:rFonts w:ascii="Arial" w:cs="Arial" w:eastAsia="Arial" w:hAnsi="Arial"/>
                <w:sz w:val="20"/>
                <w:szCs w:val="20"/>
                <w:b w:val="1"/>
                <w:bCs w:val="1"/>
                <w:color w:val="auto"/>
              </w:rPr>
              <w:t>ARTICLE IV.</w:t>
            </w: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740" w:type="dxa"/>
            <w:vAlign w:val="bottom"/>
          </w:tcPr>
          <w:p>
            <w:pPr>
              <w:jc w:val="center"/>
              <w:ind w:right="2401"/>
              <w:spacing w:after="0"/>
              <w:rPr>
                <w:sz w:val="20"/>
                <w:szCs w:val="20"/>
                <w:color w:val="auto"/>
              </w:rPr>
            </w:pPr>
            <w:r>
              <w:rPr>
                <w:rFonts w:ascii="Arial" w:cs="Arial" w:eastAsia="Arial" w:hAnsi="Arial"/>
                <w:sz w:val="20"/>
                <w:szCs w:val="20"/>
                <w:b w:val="1"/>
                <w:bCs w:val="1"/>
                <w:color w:val="auto"/>
                <w:w w:val="99"/>
              </w:rPr>
              <w:t>OTHER PROVISIONS</w:t>
            </w:r>
          </w:p>
        </w:tc>
        <w:tc>
          <w:tcPr>
            <w:tcW w:w="0" w:type="dxa"/>
            <w:vAlign w:val="bottom"/>
          </w:tcPr>
          <w:p>
            <w:pPr>
              <w:spacing w:after="0"/>
              <w:rPr>
                <w:sz w:val="1"/>
                <w:szCs w:val="1"/>
                <w:color w:val="auto"/>
              </w:rPr>
            </w:pPr>
          </w:p>
        </w:tc>
      </w:tr>
      <w:tr>
        <w:trPr>
          <w:trHeight w:val="388"/>
        </w:trPr>
        <w:tc>
          <w:tcPr>
            <w:tcW w:w="7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0"/>
                <w:szCs w:val="20"/>
                <w:color w:val="auto"/>
                <w:w w:val="84"/>
              </w:rPr>
              <w:t>IV.1</w:t>
            </w:r>
          </w:p>
        </w:tc>
        <w:tc>
          <w:tcPr>
            <w:tcW w:w="42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0"/>
                <w:szCs w:val="20"/>
                <w:color w:val="auto"/>
                <w:w w:val="91"/>
              </w:rPr>
              <w:t>Adjustments. Participant acknowledges that the RSUs, the Shares subject to the RSUs and the Dividend Equivalents are</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Arial" w:cs="Arial" w:eastAsia="Arial" w:hAnsi="Arial"/>
                <w:sz w:val="20"/>
                <w:szCs w:val="20"/>
                <w:color w:val="auto"/>
                <w:w w:val="86"/>
              </w:rPr>
              <w:t>subject to</w:t>
            </w: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0" w:type="dxa"/>
            <w:vAlign w:val="bottom"/>
            <w:vMerge w:val="continue"/>
          </w:tcPr>
          <w:p>
            <w:pPr>
              <w:spacing w:after="0"/>
              <w:rPr>
                <w:sz w:val="21"/>
                <w:szCs w:val="21"/>
                <w:color w:val="auto"/>
              </w:rPr>
            </w:pPr>
          </w:p>
        </w:tc>
        <w:tc>
          <w:tcPr>
            <w:tcW w:w="10480" w:type="dxa"/>
            <w:vAlign w:val="bottom"/>
            <w:gridSpan w:val="5"/>
          </w:tcPr>
          <w:p>
            <w:pPr>
              <w:ind w:left="60"/>
              <w:spacing w:after="0"/>
              <w:rPr>
                <w:sz w:val="20"/>
                <w:szCs w:val="20"/>
                <w:color w:val="auto"/>
              </w:rPr>
            </w:pPr>
            <w:r>
              <w:rPr>
                <w:rFonts w:ascii="Arial" w:cs="Arial" w:eastAsia="Arial" w:hAnsi="Arial"/>
                <w:sz w:val="20"/>
                <w:szCs w:val="20"/>
                <w:color w:val="auto"/>
              </w:rPr>
              <w:t>adjustment, modification and termination in certain events as provided in this Agreement and the Plan.</w:t>
            </w:r>
          </w:p>
        </w:tc>
        <w:tc>
          <w:tcPr>
            <w:tcW w:w="0" w:type="dxa"/>
            <w:vAlign w:val="bottom"/>
          </w:tcPr>
          <w:p>
            <w:pPr>
              <w:spacing w:after="0"/>
              <w:rPr>
                <w:sz w:val="1"/>
                <w:szCs w:val="1"/>
                <w:color w:val="auto"/>
              </w:rPr>
            </w:pPr>
          </w:p>
        </w:tc>
      </w:tr>
      <w:tr>
        <w:trPr>
          <w:trHeight w:val="384"/>
        </w:trPr>
        <w:tc>
          <w:tcPr>
            <w:tcW w:w="7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20"/>
                <w:szCs w:val="20"/>
                <w:color w:val="auto"/>
                <w:w w:val="84"/>
              </w:rPr>
              <w:t>IV.2</w:t>
            </w:r>
          </w:p>
        </w:tc>
        <w:tc>
          <w:tcPr>
            <w:tcW w:w="42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20"/>
                <w:szCs w:val="20"/>
                <w:color w:val="auto"/>
                <w:w w:val="92"/>
              </w:rPr>
              <w:t>Notices. Any notice to be given under the terms of this Agreement to the Company must be in writing and addressed to</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231" w:lineRule="auto"/>
        <w:rPr>
          <w:sz w:val="20"/>
          <w:szCs w:val="20"/>
          <w:color w:val="auto"/>
        </w:rPr>
      </w:pPr>
      <w:r>
        <w:rPr>
          <w:rFonts w:ascii="Arial" w:cs="Arial" w:eastAsia="Arial" w:hAnsi="Arial"/>
          <w:sz w:val="20"/>
          <w:szCs w:val="20"/>
          <w:color w:val="auto"/>
        </w:rPr>
        <w:t>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4" w:name="page45"/>
    <w:bookmarkEnd w:id="44"/>
    <w:p>
      <w:pPr>
        <w:jc w:val="both"/>
        <w:spacing w:after="0" w:line="237" w:lineRule="auto"/>
        <w:rPr>
          <w:sz w:val="20"/>
          <w:szCs w:val="20"/>
          <w:color w:val="auto"/>
        </w:rPr>
      </w:pPr>
      <w:r>
        <w:rPr>
          <w:rFonts w:ascii="Arial" w:cs="Arial" w:eastAsia="Arial" w:hAnsi="Arial"/>
          <w:sz w:val="20"/>
          <w:szCs w:val="20"/>
          <w:color w:val="auto"/>
        </w:rPr>
        <w:t>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20"/>
                <w:szCs w:val="20"/>
                <w:color w:val="auto"/>
              </w:rPr>
              <w:t>IV.3</w:t>
            </w:r>
          </w:p>
        </w:tc>
        <w:tc>
          <w:tcPr>
            <w:tcW w:w="9860" w:type="dxa"/>
            <w:vAlign w:val="bottom"/>
            <w:gridSpan w:val="4"/>
          </w:tcPr>
          <w:p>
            <w:pPr>
              <w:ind w:left="120"/>
              <w:spacing w:after="0"/>
              <w:rPr>
                <w:sz w:val="20"/>
                <w:szCs w:val="20"/>
                <w:color w:val="auto"/>
              </w:rPr>
            </w:pPr>
            <w:r>
              <w:rPr>
                <w:rFonts w:ascii="Arial" w:cs="Arial" w:eastAsia="Arial" w:hAnsi="Arial"/>
                <w:sz w:val="20"/>
                <w:szCs w:val="20"/>
                <w:color w:val="auto"/>
                <w:w w:val="91"/>
              </w:rPr>
              <w:t>Titles. Titles are provided herein for convenience only and are not to serve as a basis for interpretation or construction of</w:t>
            </w: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44"/>
        </w:trPr>
        <w:tc>
          <w:tcPr>
            <w:tcW w:w="1080" w:type="dxa"/>
            <w:vAlign w:val="bottom"/>
            <w:gridSpan w:val="2"/>
          </w:tcPr>
          <w:p>
            <w:pPr>
              <w:spacing w:after="0"/>
              <w:rPr>
                <w:sz w:val="20"/>
                <w:szCs w:val="20"/>
                <w:color w:val="auto"/>
              </w:rPr>
            </w:pPr>
            <w:r>
              <w:rPr>
                <w:rFonts w:ascii="Arial" w:cs="Arial" w:eastAsia="Arial" w:hAnsi="Arial"/>
                <w:sz w:val="20"/>
                <w:szCs w:val="20"/>
                <w:color w:val="auto"/>
                <w:w w:val="75"/>
              </w:rPr>
              <w:t>this Agreement.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300" w:type="dxa"/>
            <w:vAlign w:val="bottom"/>
          </w:tcPr>
          <w:p>
            <w:pPr>
              <w:spacing w:after="0"/>
              <w:rPr>
                <w:sz w:val="21"/>
                <w:szCs w:val="21"/>
                <w:color w:val="auto"/>
              </w:rPr>
            </w:pPr>
          </w:p>
        </w:tc>
      </w:tr>
      <w:tr>
        <w:trPr>
          <w:trHeight w:val="384"/>
        </w:trPr>
        <w:tc>
          <w:tcPr>
            <w:tcW w:w="76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20"/>
                <w:szCs w:val="20"/>
                <w:color w:val="auto"/>
              </w:rPr>
              <w:t>IV.4</w:t>
            </w:r>
          </w:p>
        </w:tc>
        <w:tc>
          <w:tcPr>
            <w:tcW w:w="9860" w:type="dxa"/>
            <w:vAlign w:val="bottom"/>
            <w:gridSpan w:val="4"/>
          </w:tcPr>
          <w:p>
            <w:pPr>
              <w:ind w:left="120"/>
              <w:spacing w:after="0"/>
              <w:rPr>
                <w:sz w:val="20"/>
                <w:szCs w:val="20"/>
                <w:color w:val="auto"/>
              </w:rPr>
            </w:pPr>
            <w:r>
              <w:rPr>
                <w:rFonts w:ascii="Arial" w:cs="Arial" w:eastAsia="Arial" w:hAnsi="Arial"/>
                <w:sz w:val="20"/>
                <w:szCs w:val="20"/>
                <w:color w:val="auto"/>
                <w:w w:val="90"/>
              </w:rPr>
              <w:t>Conformity to Securities Laws. Participant acknowledges that the Plan, the Grant Notice and this Agreement are intended</w:t>
            </w: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bl>
    <w:p>
      <w:pPr>
        <w:jc w:val="both"/>
        <w:ind w:right="20"/>
        <w:spacing w:after="0" w:line="243" w:lineRule="auto"/>
        <w:rPr>
          <w:sz w:val="20"/>
          <w:szCs w:val="20"/>
          <w:color w:val="auto"/>
        </w:rPr>
      </w:pPr>
      <w:r>
        <w:rPr>
          <w:rFonts w:ascii="Arial" w:cs="Arial" w:eastAsia="Arial" w:hAnsi="Arial"/>
          <w:sz w:val="20"/>
          <w:szCs w:val="20"/>
          <w:color w:val="auto"/>
        </w:rPr>
        <w:t>to conform to the extent necessary with all Applicable Laws and, to the extent Applicable Laws permit, will be deemed amended as necessary to conform to Applicable Laws.</w:t>
      </w:r>
    </w:p>
    <w:p>
      <w:pPr>
        <w:spacing w:after="0" w:line="179"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u w:val="single" w:color="auto"/>
          <w:color w:val="auto"/>
        </w:rPr>
        <w:t>IV.5 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u w:val="single" w:color="auto"/>
          <w:color w:val="auto"/>
        </w:rPr>
        <w:t>IV.6 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7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u w:val="single" w:color="auto"/>
          <w:color w:val="auto"/>
        </w:rPr>
        <w:t>IV.7 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u w:val="single" w:color="auto"/>
          <w:color w:val="auto"/>
        </w:rPr>
        <w:t>IV.8 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u w:val="single" w:color="auto"/>
          <w:color w:val="auto"/>
        </w:rPr>
        <w:t>IV.9 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79"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u w:val="single" w:color="auto"/>
          <w:color w:val="auto"/>
        </w:rPr>
        <w:t>IV.10 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5" w:name="page46"/>
    <w:bookmarkEnd w:id="45"/>
    <w:p>
      <w:pPr>
        <w:ind w:right="20" w:firstLine="749"/>
        <w:spacing w:after="0" w:line="272" w:lineRule="auto"/>
        <w:rPr>
          <w:sz w:val="20"/>
          <w:szCs w:val="20"/>
          <w:color w:val="auto"/>
        </w:rPr>
      </w:pPr>
      <w:r>
        <w:rPr>
          <w:rFonts w:ascii="Arial" w:cs="Arial" w:eastAsia="Arial" w:hAnsi="Arial"/>
          <w:sz w:val="19"/>
          <w:szCs w:val="19"/>
          <w:u w:val="single" w:color="auto"/>
          <w:color w:val="auto"/>
        </w:rPr>
        <w:t>IV.11 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3" w:lineRule="exact"/>
        <w:rPr>
          <w:sz w:val="20"/>
          <w:szCs w:val="20"/>
          <w:color w:val="auto"/>
        </w:rPr>
      </w:pPr>
    </w:p>
    <w:p>
      <w:pPr>
        <w:ind w:firstLine="749"/>
        <w:spacing w:after="0" w:line="246" w:lineRule="auto"/>
        <w:rPr>
          <w:sz w:val="20"/>
          <w:szCs w:val="20"/>
          <w:color w:val="auto"/>
        </w:rPr>
      </w:pPr>
      <w:r>
        <w:rPr>
          <w:rFonts w:ascii="Arial" w:cs="Arial" w:eastAsia="Arial" w:hAnsi="Arial"/>
          <w:sz w:val="20"/>
          <w:szCs w:val="20"/>
          <w:u w:val="single" w:color="auto"/>
          <w:color w:val="auto"/>
        </w:rPr>
        <w:t>IV.12 Data Protection</w:t>
      </w:r>
      <w:r>
        <w:rPr>
          <w:rFonts w:ascii="Arial" w:cs="Arial" w:eastAsia="Arial" w:hAnsi="Arial"/>
          <w:sz w:val="20"/>
          <w:szCs w:val="20"/>
          <w:color w:val="auto"/>
        </w:rPr>
        <w:t>. The Company will collect and process information relating to Participant in accordance with applicable data protection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Paul Badawi, certify that:</w:t>
      </w:r>
    </w:p>
    <w:p>
      <w:pPr>
        <w:spacing w:after="0" w:line="198"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March 31, 2022 of Sight Sciences, Inc.;</w:t>
      </w:r>
    </w:p>
    <w:p>
      <w:pPr>
        <w:spacing w:after="0" w:line="198" w:lineRule="exact"/>
        <w:rPr>
          <w:rFonts w:ascii="Arial" w:cs="Arial" w:eastAsia="Arial" w:hAnsi="Arial"/>
          <w:sz w:val="18"/>
          <w:szCs w:val="18"/>
          <w:color w:val="auto"/>
        </w:rPr>
      </w:pPr>
    </w:p>
    <w:p>
      <w:pPr>
        <w:jc w:val="both"/>
        <w:ind w:left="520" w:right="240" w:hanging="512"/>
        <w:spacing w:after="0" w:line="248"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20" w:right="240" w:hanging="512"/>
        <w:spacing w:after="0" w:line="248"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369"/>
        <w:spacing w:after="0" w:line="248"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500" w:right="300" w:hanging="369"/>
        <w:spacing w:after="0" w:line="324" w:lineRule="auto"/>
        <w:tabs>
          <w:tab w:leader="none" w:pos="15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369"/>
        <w:spacing w:after="0" w:line="261" w:lineRule="auto"/>
        <w:tabs>
          <w:tab w:leader="none" w:pos="15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10, 2022</w:t>
      </w:r>
    </w:p>
    <w:p>
      <w:pPr>
        <w:spacing w:after="0" w:line="7" w:lineRule="exact"/>
        <w:rPr>
          <w:sz w:val="20"/>
          <w:szCs w:val="20"/>
          <w:color w:val="auto"/>
        </w:rPr>
      </w:pPr>
    </w:p>
    <w:p>
      <w:pPr>
        <w:ind w:left="7260"/>
        <w:spacing w:after="0"/>
        <w:rPr>
          <w:sz w:val="20"/>
          <w:szCs w:val="20"/>
          <w:color w:val="auto"/>
        </w:rPr>
      </w:pPr>
      <w:r>
        <w:rPr>
          <w:rFonts w:ascii="Arial" w:cs="Arial" w:eastAsia="Arial" w:hAnsi="Arial"/>
          <w:sz w:val="18"/>
          <w:szCs w:val="18"/>
          <w:u w:val="single" w:color="auto"/>
          <w:color w:val="auto"/>
        </w:rPr>
        <w:t>/s/ Paul Badawi</w:t>
      </w:r>
    </w:p>
    <w:p>
      <w:pPr>
        <w:ind w:left="7420"/>
        <w:spacing w:after="0" w:line="203" w:lineRule="auto"/>
        <w:rPr>
          <w:sz w:val="20"/>
          <w:szCs w:val="20"/>
          <w:color w:val="auto"/>
        </w:rPr>
      </w:pPr>
      <w:r>
        <w:rPr>
          <w:rFonts w:ascii="Arial" w:cs="Arial" w:eastAsia="Arial" w:hAnsi="Arial"/>
          <w:sz w:val="18"/>
          <w:szCs w:val="18"/>
          <w:b w:val="1"/>
          <w:bCs w:val="1"/>
          <w:color w:val="auto"/>
        </w:rPr>
        <w:t>Paul Badawi</w:t>
      </w:r>
    </w:p>
    <w:p>
      <w:pPr>
        <w:ind w:left="65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rPr>
          <w:sz w:val="20"/>
          <w:szCs w:val="20"/>
          <w:color w:val="auto"/>
        </w:rPr>
      </w:pPr>
      <w:r>
        <w:rPr>
          <w:rFonts w:ascii="Arial" w:cs="Arial" w:eastAsia="Arial" w:hAnsi="Arial"/>
          <w:sz w:val="18"/>
          <w:szCs w:val="18"/>
          <w:color w:val="auto"/>
        </w:rPr>
        <w:t>I, Jesse Selnick, certify that:</w:t>
      </w:r>
    </w:p>
    <w:p>
      <w:pPr>
        <w:spacing w:after="0" w:line="182"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period ended March 31, 2022 of Sight Sciences, Inc.;</w:t>
      </w:r>
    </w:p>
    <w:p>
      <w:pPr>
        <w:spacing w:after="0" w:line="198" w:lineRule="exact"/>
        <w:rPr>
          <w:rFonts w:ascii="Arial" w:cs="Arial" w:eastAsia="Arial" w:hAnsi="Arial"/>
          <w:sz w:val="18"/>
          <w:szCs w:val="18"/>
          <w:color w:val="auto"/>
        </w:rPr>
      </w:pPr>
    </w:p>
    <w:p>
      <w:pPr>
        <w:jc w:val="both"/>
        <w:ind w:left="520" w:right="240" w:hanging="512"/>
        <w:spacing w:after="0" w:line="24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20" w:right="240" w:hanging="512"/>
        <w:spacing w:after="0" w:line="248"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1500" w:right="40" w:hanging="369"/>
        <w:spacing w:after="0" w:line="248" w:lineRule="auto"/>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7"/>
          <w:szCs w:val="17"/>
          <w:color w:val="auto"/>
        </w:rPr>
      </w:pPr>
    </w:p>
    <w:p>
      <w:pPr>
        <w:ind w:left="1500" w:right="300" w:hanging="369"/>
        <w:spacing w:after="0" w:line="324"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500" w:right="580" w:hanging="369"/>
        <w:spacing w:after="0" w:line="261" w:lineRule="auto"/>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10, 2022</w:t>
      </w:r>
    </w:p>
    <w:p>
      <w:pPr>
        <w:spacing w:after="0" w:line="7" w:lineRule="exact"/>
        <w:rPr>
          <w:sz w:val="20"/>
          <w:szCs w:val="20"/>
          <w:color w:val="auto"/>
        </w:rPr>
      </w:pPr>
    </w:p>
    <w:p>
      <w:pPr>
        <w:ind w:left="7820"/>
        <w:spacing w:after="0"/>
        <w:rPr>
          <w:sz w:val="20"/>
          <w:szCs w:val="20"/>
          <w:color w:val="auto"/>
        </w:rPr>
      </w:pPr>
      <w:r>
        <w:rPr>
          <w:rFonts w:ascii="Arial" w:cs="Arial" w:eastAsia="Arial" w:hAnsi="Arial"/>
          <w:sz w:val="18"/>
          <w:szCs w:val="18"/>
          <w:u w:val="single" w:color="auto"/>
          <w:color w:val="auto"/>
        </w:rPr>
        <w:t>/s/ Jesse Selnick</w:t>
      </w:r>
    </w:p>
    <w:p>
      <w:pPr>
        <w:ind w:left="8000"/>
        <w:spacing w:after="0" w:line="203" w:lineRule="auto"/>
        <w:rPr>
          <w:sz w:val="20"/>
          <w:szCs w:val="20"/>
          <w:color w:val="auto"/>
        </w:rPr>
      </w:pPr>
      <w:r>
        <w:rPr>
          <w:rFonts w:ascii="Arial" w:cs="Arial" w:eastAsia="Arial" w:hAnsi="Arial"/>
          <w:sz w:val="18"/>
          <w:szCs w:val="18"/>
          <w:b w:val="1"/>
          <w:bCs w:val="1"/>
          <w:color w:val="auto"/>
        </w:rPr>
        <w:t>Jesse Selnick</w:t>
      </w:r>
    </w:p>
    <w:p>
      <w:pPr>
        <w:ind w:left="720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32.1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15"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202" w:lineRule="exact"/>
        <w:rPr>
          <w:sz w:val="20"/>
          <w:szCs w:val="20"/>
          <w:color w:val="auto"/>
        </w:rPr>
      </w:pPr>
    </w:p>
    <w:p>
      <w:pPr>
        <w:ind w:left="1280" w:right="80" w:hanging="757"/>
        <w:spacing w:after="0"/>
        <w:tabs>
          <w:tab w:leader="none" w:pos="1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quarterly period ended March 31, 2022 (the “</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213" w:lineRule="exact"/>
        <w:rPr>
          <w:rFonts w:ascii="Arial" w:cs="Arial" w:eastAsia="Arial" w:hAnsi="Arial"/>
          <w:sz w:val="22"/>
          <w:szCs w:val="22"/>
          <w:color w:val="auto"/>
        </w:rPr>
      </w:pPr>
    </w:p>
    <w:p>
      <w:pPr>
        <w:ind w:left="1280" w:right="180" w:hanging="757"/>
        <w:spacing w:after="0" w:line="250" w:lineRule="auto"/>
        <w:tabs>
          <w:tab w:leader="none" w:pos="12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5200" w:type="dxa"/>
            <w:vAlign w:val="bottom"/>
          </w:tcPr>
          <w:p>
            <w:pPr>
              <w:spacing w:after="0"/>
              <w:rPr>
                <w:sz w:val="20"/>
                <w:szCs w:val="20"/>
                <w:color w:val="auto"/>
              </w:rPr>
            </w:pPr>
            <w:r>
              <w:rPr>
                <w:rFonts w:ascii="Arial" w:cs="Arial" w:eastAsia="Arial" w:hAnsi="Arial"/>
                <w:sz w:val="22"/>
                <w:szCs w:val="22"/>
                <w:color w:val="auto"/>
              </w:rPr>
              <w:t>Dated:  May 10, 2022</w:t>
            </w:r>
          </w:p>
        </w:tc>
        <w:tc>
          <w:tcPr>
            <w:tcW w:w="5320" w:type="dxa"/>
            <w:vAlign w:val="bottom"/>
            <w:gridSpan w:val="2"/>
          </w:tcPr>
          <w:p>
            <w:pPr>
              <w:jc w:val="right"/>
              <w:spacing w:after="0"/>
              <w:rPr>
                <w:sz w:val="20"/>
                <w:szCs w:val="20"/>
                <w:color w:val="auto"/>
              </w:rPr>
            </w:pPr>
            <w:r>
              <w:rPr>
                <w:rFonts w:ascii="Arial" w:cs="Arial" w:eastAsia="Arial" w:hAnsi="Arial"/>
                <w:sz w:val="22"/>
                <w:szCs w:val="22"/>
                <w:color w:val="auto"/>
              </w:rPr>
              <w:t>/s/ Paul Badawi</w:t>
            </w:r>
          </w:p>
        </w:tc>
      </w:tr>
      <w:tr>
        <w:trPr>
          <w:trHeight w:val="242"/>
        </w:trPr>
        <w:tc>
          <w:tcPr>
            <w:tcW w:w="52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340" w:type="dxa"/>
            <w:vAlign w:val="bottom"/>
            <w:tcBorders>
              <w:top w:val="single" w:sz="8" w:color="auto"/>
            </w:tcBorders>
          </w:tcPr>
          <w:p>
            <w:pPr>
              <w:jc w:val="right"/>
              <w:spacing w:after="0" w:line="242" w:lineRule="exact"/>
              <w:rPr>
                <w:sz w:val="20"/>
                <w:szCs w:val="20"/>
                <w:color w:val="auto"/>
              </w:rPr>
            </w:pPr>
            <w:r>
              <w:rPr>
                <w:rFonts w:ascii="Arial" w:cs="Arial" w:eastAsia="Arial" w:hAnsi="Arial"/>
                <w:sz w:val="22"/>
                <w:szCs w:val="22"/>
                <w:color w:val="auto"/>
              </w:rPr>
              <w:t>Paul Badawi</w:t>
            </w:r>
          </w:p>
        </w:tc>
      </w:tr>
      <w:tr>
        <w:trPr>
          <w:trHeight w:val="274"/>
        </w:trPr>
        <w:tc>
          <w:tcPr>
            <w:tcW w:w="5200" w:type="dxa"/>
            <w:vAlign w:val="bottom"/>
          </w:tcPr>
          <w:p>
            <w:pPr>
              <w:spacing w:after="0"/>
              <w:rPr>
                <w:sz w:val="23"/>
                <w:szCs w:val="23"/>
                <w:color w:val="auto"/>
              </w:rPr>
            </w:pPr>
          </w:p>
        </w:tc>
        <w:tc>
          <w:tcPr>
            <w:tcW w:w="5320" w:type="dxa"/>
            <w:vAlign w:val="bottom"/>
            <w:gridSpan w:val="2"/>
          </w:tcPr>
          <w:p>
            <w:pPr>
              <w:jc w:val="right"/>
              <w:spacing w:after="0"/>
              <w:rPr>
                <w:sz w:val="20"/>
                <w:szCs w:val="20"/>
                <w:color w:val="auto"/>
              </w:rPr>
            </w:pPr>
            <w:r>
              <w:rPr>
                <w:rFonts w:ascii="Arial" w:cs="Arial" w:eastAsia="Arial" w:hAnsi="Arial"/>
                <w:sz w:val="22"/>
                <w:szCs w:val="22"/>
                <w:color w:val="auto"/>
              </w:rPr>
              <w:t>Chief Executive Officer</w:t>
            </w:r>
          </w:p>
        </w:tc>
      </w:tr>
    </w:tbl>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32.2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15" w:lineRule="exact"/>
        <w:rPr>
          <w:sz w:val="20"/>
          <w:szCs w:val="20"/>
          <w:color w:val="auto"/>
        </w:rPr>
      </w:pPr>
    </w:p>
    <w:p>
      <w:pPr>
        <w:ind w:right="20" w:firstLine="432"/>
        <w:spacing w:after="0" w:line="250" w:lineRule="auto"/>
        <w:rPr>
          <w:sz w:val="20"/>
          <w:szCs w:val="20"/>
          <w:color w:val="auto"/>
        </w:rPr>
      </w:pPr>
      <w:r>
        <w:rPr>
          <w:rFonts w:ascii="Arial" w:cs="Arial" w:eastAsia="Arial" w:hAnsi="Arial"/>
          <w:sz w:val="22"/>
          <w:szCs w:val="22"/>
          <w:color w:val="auto"/>
        </w:rPr>
        <w:t>Pursuant to 18 U.S.C. § 1350, as created by Section 906 of the Sarbanes-Oxley Act of 2002, the undersigned officer of Sight 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certifies that:</w:t>
      </w:r>
    </w:p>
    <w:p>
      <w:pPr>
        <w:spacing w:after="0" w:line="202" w:lineRule="exact"/>
        <w:rPr>
          <w:sz w:val="20"/>
          <w:szCs w:val="20"/>
          <w:color w:val="auto"/>
        </w:rPr>
      </w:pPr>
    </w:p>
    <w:p>
      <w:pPr>
        <w:ind w:left="1280" w:right="80" w:hanging="757"/>
        <w:spacing w:after="0"/>
        <w:tabs>
          <w:tab w:leader="none" w:pos="12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quarterly period ended March 31, 2022 (the “</w:t>
      </w:r>
      <w:r>
        <w:rPr>
          <w:rFonts w:ascii="Arial" w:cs="Arial" w:eastAsia="Arial" w:hAnsi="Arial"/>
          <w:sz w:val="22"/>
          <w:szCs w:val="22"/>
          <w:u w:val="single" w:color="auto"/>
          <w:color w:val="auto"/>
        </w:rPr>
        <w:t>Report</w:t>
      </w:r>
      <w:r>
        <w:rPr>
          <w:rFonts w:ascii="Arial" w:cs="Arial" w:eastAsia="Arial" w:hAnsi="Arial"/>
          <w:sz w:val="22"/>
          <w:szCs w:val="22"/>
          <w:color w:val="auto"/>
        </w:rPr>
        <w:t>”) fully complies with the requirements of Section 13(a) or Section 15(d), as applicable, of the Securities Exchange Act of 1934, as amended; and</w:t>
      </w:r>
    </w:p>
    <w:p>
      <w:pPr>
        <w:spacing w:after="0" w:line="213" w:lineRule="exact"/>
        <w:rPr>
          <w:rFonts w:ascii="Arial" w:cs="Arial" w:eastAsia="Arial" w:hAnsi="Arial"/>
          <w:sz w:val="22"/>
          <w:szCs w:val="22"/>
          <w:color w:val="auto"/>
        </w:rPr>
      </w:pPr>
    </w:p>
    <w:p>
      <w:pPr>
        <w:ind w:left="1280" w:right="180" w:hanging="757"/>
        <w:spacing w:after="0" w:line="250" w:lineRule="auto"/>
        <w:tabs>
          <w:tab w:leader="none" w:pos="12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253"/>
        </w:trPr>
        <w:tc>
          <w:tcPr>
            <w:tcW w:w="5240" w:type="dxa"/>
            <w:vAlign w:val="bottom"/>
          </w:tcPr>
          <w:p>
            <w:pPr>
              <w:spacing w:after="0"/>
              <w:rPr>
                <w:sz w:val="20"/>
                <w:szCs w:val="20"/>
                <w:color w:val="auto"/>
              </w:rPr>
            </w:pPr>
            <w:r>
              <w:rPr>
                <w:rFonts w:ascii="Arial" w:cs="Arial" w:eastAsia="Arial" w:hAnsi="Arial"/>
                <w:sz w:val="22"/>
                <w:szCs w:val="22"/>
                <w:color w:val="auto"/>
              </w:rPr>
              <w:t>Dated:  May 10, 2022</w:t>
            </w:r>
          </w:p>
        </w:tc>
        <w:tc>
          <w:tcPr>
            <w:tcW w:w="5280" w:type="dxa"/>
            <w:vAlign w:val="bottom"/>
            <w:gridSpan w:val="2"/>
          </w:tcPr>
          <w:p>
            <w:pPr>
              <w:jc w:val="right"/>
              <w:spacing w:after="0"/>
              <w:rPr>
                <w:sz w:val="20"/>
                <w:szCs w:val="20"/>
                <w:color w:val="auto"/>
              </w:rPr>
            </w:pPr>
            <w:r>
              <w:rPr>
                <w:rFonts w:ascii="Arial" w:cs="Arial" w:eastAsia="Arial" w:hAnsi="Arial"/>
                <w:sz w:val="22"/>
                <w:szCs w:val="22"/>
                <w:color w:val="auto"/>
              </w:rPr>
              <w:t>/s/ Jesse Selnick</w:t>
            </w:r>
          </w:p>
        </w:tc>
      </w:tr>
      <w:tr>
        <w:trPr>
          <w:trHeight w:val="242"/>
        </w:trPr>
        <w:tc>
          <w:tcPr>
            <w:tcW w:w="524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400" w:type="dxa"/>
            <w:vAlign w:val="bottom"/>
            <w:tcBorders>
              <w:top w:val="single" w:sz="8" w:color="auto"/>
            </w:tcBorders>
          </w:tcPr>
          <w:p>
            <w:pPr>
              <w:jc w:val="right"/>
              <w:spacing w:after="0" w:line="242" w:lineRule="exact"/>
              <w:rPr>
                <w:sz w:val="20"/>
                <w:szCs w:val="20"/>
                <w:color w:val="auto"/>
              </w:rPr>
            </w:pPr>
            <w:r>
              <w:rPr>
                <w:rFonts w:ascii="Arial" w:cs="Arial" w:eastAsia="Arial" w:hAnsi="Arial"/>
                <w:sz w:val="22"/>
                <w:szCs w:val="22"/>
                <w:color w:val="auto"/>
              </w:rPr>
              <w:t>Jesse Selnick</w:t>
            </w:r>
          </w:p>
        </w:tc>
      </w:tr>
      <w:tr>
        <w:trPr>
          <w:trHeight w:val="274"/>
        </w:trPr>
        <w:tc>
          <w:tcPr>
            <w:tcW w:w="5240" w:type="dxa"/>
            <w:vAlign w:val="bottom"/>
          </w:tcPr>
          <w:p>
            <w:pPr>
              <w:spacing w:after="0"/>
              <w:rPr>
                <w:sz w:val="23"/>
                <w:szCs w:val="23"/>
                <w:color w:val="auto"/>
              </w:rPr>
            </w:pPr>
          </w:p>
        </w:tc>
        <w:tc>
          <w:tcPr>
            <w:tcW w:w="5280" w:type="dxa"/>
            <w:vAlign w:val="bottom"/>
            <w:gridSpan w:val="2"/>
          </w:tcPr>
          <w:p>
            <w:pPr>
              <w:jc w:val="right"/>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5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2"/>
    </w:lvl>
  </w:abstractNum>
  <w:abstractNum w:abstractNumId="8">
    <w:nsid w:val="4E6AFB66"/>
    <w:multiLevelType w:val="hybridMultilevel"/>
    <w:lvl w:ilvl="0">
      <w:lvlJc w:val="left"/>
      <w:lvlText w:val="%1."/>
      <w:numFmt w:val="lowerLetter"/>
      <w:start w:val="3"/>
    </w:lvl>
    <w:lvl w:ilvl="1">
      <w:lvlJc w:val="left"/>
      <w:lvlText w:val="%2."/>
      <w:numFmt w:val="decimal"/>
      <w:start w:val="1"/>
    </w:lvl>
  </w:abstractNum>
  <w:abstractNum w:abstractNumId="9">
    <w:nsid w:val="25E45D32"/>
    <w:multiLevelType w:val="hybridMultilevel"/>
    <w:lvl w:ilvl="0">
      <w:lvlJc w:val="left"/>
      <w:lvlText w:val="%1"/>
      <w:numFmt w:val="lowerLetter"/>
      <w:start w:val="1"/>
    </w:lvl>
    <w:lvl w:ilvl="1">
      <w:lvlJc w:val="left"/>
      <w:lvlText w:val="%2."/>
      <w:numFmt w:val="decimal"/>
      <w:start w:val="3"/>
    </w:lvl>
  </w:abstractNum>
  <w:abstractNum w:abstractNumId="10">
    <w:nsid w:val="519B500D"/>
    <w:multiLevelType w:val="hybridMultilevel"/>
    <w:lvl w:ilvl="0">
      <w:lvlJc w:val="left"/>
      <w:lvlText w:val="%1."/>
      <w:numFmt w:val="lowerLetter"/>
      <w:start w:val="5"/>
    </w:lvl>
    <w:lvl w:ilvl="1">
      <w:lvlJc w:val="left"/>
      <w:lvlText w:val="%2."/>
      <w:numFmt w:val="decimal"/>
      <w:start w:val="1"/>
    </w:lvl>
  </w:abstractNum>
  <w:abstractNum w:abstractNumId="11">
    <w:nsid w:val="431BD7B7"/>
    <w:multiLevelType w:val="hybridMultilevel"/>
    <w:lvl w:ilvl="0">
      <w:lvlJc w:val="left"/>
      <w:lvlText w:val="%1."/>
      <w:numFmt w:val="decimal"/>
      <w:start w:val="3"/>
    </w:lvl>
    <w:lvl w:ilvl="1">
      <w:lvlJc w:val="left"/>
      <w:lvlText w:val="(%2)"/>
      <w:numFmt w:val="lowerLetter"/>
      <w:start w:val="3"/>
    </w:lvl>
  </w:abstractNum>
  <w:abstractNum w:abstractNumId="12">
    <w:nsid w:val="3F2DBA31"/>
    <w:multiLevelType w:val="hybridMultilevel"/>
    <w:lvl w:ilvl="0">
      <w:lvlJc w:val="left"/>
      <w:lvlText w:val="%1"/>
      <w:numFmt w:val="lowerLetter"/>
      <w:start w:val="1"/>
    </w:lvl>
    <w:lvl w:ilvl="1">
      <w:lvlJc w:val="left"/>
      <w:lvlText w:val="%2."/>
      <w:numFmt w:val="decimal"/>
      <w:start w:val="4"/>
    </w:lvl>
  </w:abstractNum>
  <w:abstractNum w:abstractNumId="13">
    <w:nsid w:val="7C83E458"/>
    <w:multiLevelType w:val="hybridMultilevel"/>
    <w:lvl w:ilvl="0">
      <w:lvlJc w:val="left"/>
      <w:lvlText w:val="%1."/>
      <w:numFmt w:val="lowerLetter"/>
      <w:start w:val="10"/>
    </w:lvl>
    <w:lvl w:ilvl="1">
      <w:lvlJc w:val="left"/>
      <w:lvlText w:val="%2."/>
      <w:numFmt w:val="decimal"/>
      <w:start w:val="1"/>
    </w:lvl>
  </w:abstractNum>
  <w:abstractNum w:abstractNumId="14">
    <w:nsid w:val="257130A3"/>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5">
    <w:nsid w:val="62BBD95A"/>
    <w:multiLevelType w:val="hybridMultilevel"/>
    <w:lvl w:ilvl="0">
      <w:lvlJc w:val="left"/>
      <w:lvlText w:val="%1."/>
      <w:numFmt w:val="lowerLetter"/>
      <w:start w:val="11"/>
    </w:lvl>
    <w:lvl w:ilvl="1">
      <w:lvlJc w:val="left"/>
      <w:lvlText w:val="%2."/>
      <w:numFmt w:val="decimal"/>
      <w:start w:val="1"/>
    </w:lvl>
    <w:lvl w:ilvl="2">
      <w:lvlJc w:val="left"/>
      <w:lvlText w:val="(%3)"/>
      <w:numFmt w:val="lowerRoman"/>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187" Type="http://schemas.openxmlformats.org/officeDocument/2006/relationships/hyperlink" Target="https://www.sec.gov/Archives/edgar/data/1531177/000119312521218705/d116785dex31.htm" TargetMode="External"/><Relationship Id="rId188" Type="http://schemas.openxmlformats.org/officeDocument/2006/relationships/hyperlink" Target="https://www.sec.gov/Archives/edgar/data/1531177/000119312521218705/d116785dex32.htm" TargetMode="External"/><Relationship Id="rId189" Type="http://schemas.openxmlformats.org/officeDocument/2006/relationships/hyperlink" Target="https://www.sec.gov/Archives/edgar/data/1531177/000119312521210231/d90195dex41.htm" TargetMode="External"/><Relationship Id="rId190" Type="http://schemas.openxmlformats.org/officeDocument/2006/relationships/hyperlink" Target="https://www.sec.gov/Archives/edgar/data/1531177/000119312521210231/d90195dex42.htm" TargetMode="External"/><Relationship Id="rId191" Type="http://schemas.openxmlformats.org/officeDocument/2006/relationships/hyperlink" Target="https://www.sec.gov/Archives/edgar/data/1531177/000119312521197314/d90195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2022-05-10T15:46:36Z</dcterms:created>
  <dcterms:modified xsi:type="dcterms:W3CDTF">2022-05-10T15:46:36Z</dcterms:modified>
</cp:coreProperties>
</file>