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880" w:right="1620" w:hanging="3859"/>
        <w:spacing w:after="0" w:line="367" w:lineRule="auto"/>
        <w:tabs>
          <w:tab w:leader="none" w:pos="4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3320" w:right="1600" w:hanging="3299"/>
        <w:spacing w:after="0" w:line="367" w:lineRule="auto"/>
        <w:tabs>
          <w:tab w:leader="none" w:pos="47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 to ____________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001-40587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180340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SIGHT SCIENCES,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p>
      <w:pPr>
        <w:spacing w:after="0" w:line="200" w:lineRule="exact"/>
        <w:rPr>
          <w:sz w:val="24"/>
          <w:szCs w:val="24"/>
          <w:color w:val="auto"/>
        </w:rPr>
      </w:pPr>
    </w:p>
    <w:p>
      <w:pPr>
        <w:spacing w:after="0" w:line="262"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Delaware</w:t>
      </w:r>
    </w:p>
    <w:p>
      <w:pPr>
        <w:spacing w:after="0" w:line="23" w:lineRule="exact"/>
        <w:rPr>
          <w:sz w:val="24"/>
          <w:szCs w:val="24"/>
          <w:color w:val="auto"/>
        </w:rPr>
      </w:pPr>
    </w:p>
    <w:p>
      <w:pPr>
        <w:ind w:left="2020"/>
        <w:spacing w:after="0"/>
        <w:rPr>
          <w:sz w:val="20"/>
          <w:szCs w:val="20"/>
          <w:color w:val="auto"/>
        </w:rPr>
      </w:pPr>
      <w:r>
        <w:rPr>
          <w:rFonts w:ascii="Arial" w:cs="Arial" w:eastAsia="Arial" w:hAnsi="Arial"/>
          <w:sz w:val="10"/>
          <w:szCs w:val="10"/>
          <w:b w:val="1"/>
          <w:bCs w:val="1"/>
          <w:color w:val="auto"/>
        </w:rPr>
        <w:t>(State or other jurisdiction of</w:t>
      </w:r>
    </w:p>
    <w:p>
      <w:pPr>
        <w:spacing w:after="0" w:line="20" w:lineRule="exact"/>
        <w:rPr>
          <w:sz w:val="24"/>
          <w:szCs w:val="24"/>
          <w:color w:val="auto"/>
        </w:rPr>
      </w:pPr>
    </w:p>
    <w:p>
      <w:pPr>
        <w:ind w:left="200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80-0625749</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6"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35" w:lineRule="exact"/>
        <w:rPr>
          <w:sz w:val="24"/>
          <w:szCs w:val="24"/>
          <w:color w:val="auto"/>
        </w:rPr>
      </w:pPr>
    </w:p>
    <w:p>
      <w:pPr>
        <w:sectPr>
          <w:pgSz w:w="11900" w:h="16838" w:orient="portrait"/>
          <w:cols w:equalWidth="0" w:num="2">
            <w:col w:w="7220" w:space="720"/>
            <w:col w:w="3300"/>
          </w:cols>
          <w:pgMar w:left="320" w:top="1097" w:right="339" w:bottom="1440" w:gutter="0" w:footer="0" w:header="0"/>
          <w:type w:val="continuous"/>
        </w:sectPr>
      </w:pPr>
    </w:p>
    <w:p>
      <w:pPr>
        <w:ind w:left="1680"/>
        <w:spacing w:after="0"/>
        <w:rPr>
          <w:sz w:val="20"/>
          <w:szCs w:val="20"/>
          <w:color w:val="auto"/>
        </w:rPr>
      </w:pPr>
      <w:r>
        <w:rPr>
          <w:rFonts w:ascii="Arial" w:cs="Arial" w:eastAsia="Arial" w:hAnsi="Arial"/>
          <w:sz w:val="18"/>
          <w:szCs w:val="18"/>
          <w:b w:val="1"/>
          <w:bCs w:val="1"/>
          <w:color w:val="auto"/>
        </w:rPr>
        <w:t>4040 Campbell Ave, Suite 100</w:t>
      </w:r>
    </w:p>
    <w:p>
      <w:pPr>
        <w:spacing w:after="0" w:line="13" w:lineRule="exact"/>
        <w:rPr>
          <w:sz w:val="24"/>
          <w:szCs w:val="24"/>
          <w:color w:val="auto"/>
        </w:rPr>
      </w:pPr>
    </w:p>
    <w:p>
      <w:pPr>
        <w:ind w:left="2180"/>
        <w:spacing w:after="0"/>
        <w:tabs>
          <w:tab w:leader="none" w:pos="8180" w:val="left"/>
        </w:tabs>
        <w:rPr>
          <w:sz w:val="20"/>
          <w:szCs w:val="20"/>
          <w:color w:val="auto"/>
        </w:rPr>
      </w:pPr>
      <w:r>
        <w:rPr>
          <w:rFonts w:ascii="Arial" w:cs="Arial" w:eastAsia="Arial" w:hAnsi="Arial"/>
          <w:sz w:val="18"/>
          <w:szCs w:val="18"/>
          <w:b w:val="1"/>
          <w:bCs w:val="1"/>
          <w:color w:val="auto"/>
        </w:rPr>
        <w:t>Menlo Park, CA</w:t>
      </w:r>
      <w:r>
        <w:rPr>
          <w:sz w:val="20"/>
          <w:szCs w:val="20"/>
          <w:color w:val="auto"/>
        </w:rPr>
        <w:tab/>
      </w:r>
      <w:r>
        <w:rPr>
          <w:rFonts w:ascii="Arial" w:cs="Arial" w:eastAsia="Arial" w:hAnsi="Arial"/>
          <w:sz w:val="16"/>
          <w:szCs w:val="16"/>
          <w:b w:val="1"/>
          <w:bCs w:val="1"/>
          <w:color w:val="auto"/>
        </w:rPr>
        <w:t>94025</w:t>
      </w:r>
    </w:p>
    <w:p>
      <w:pPr>
        <w:spacing w:after="0" w:line="17" w:lineRule="exact"/>
        <w:rPr>
          <w:sz w:val="24"/>
          <w:szCs w:val="24"/>
          <w:color w:val="auto"/>
        </w:r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79"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(877) 266-1144</w:t>
      </w:r>
    </w:p>
    <w:p>
      <w:pPr>
        <w:spacing w:after="0" w:line="63"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2"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80" w:type="dxa"/>
            <w:vAlign w:val="bottom"/>
          </w:tcPr>
          <w:p>
            <w:pPr>
              <w:jc w:val="center"/>
              <w:spacing w:after="0"/>
              <w:rPr>
                <w:sz w:val="20"/>
                <w:szCs w:val="20"/>
                <w:color w:val="auto"/>
              </w:rPr>
            </w:pPr>
            <w:r>
              <w:rPr>
                <w:rFonts w:ascii="Arial" w:cs="Arial" w:eastAsia="Arial" w:hAnsi="Arial"/>
                <w:sz w:val="16"/>
                <w:szCs w:val="16"/>
                <w:color w:val="auto"/>
                <w:w w:val="91"/>
              </w:rPr>
              <w:t>Common Stock, par value $0.001</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4"/>
              </w:rPr>
              <w:t>SGHT</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1"/>
              </w:rPr>
              <w:t>The Nasdaq Global Select Market</w:t>
            </w:r>
          </w:p>
        </w:tc>
        <w:tc>
          <w:tcPr>
            <w:tcW w:w="0" w:type="dxa"/>
            <w:vAlign w:val="bottom"/>
          </w:tcPr>
          <w:p>
            <w:pPr>
              <w:spacing w:after="0"/>
              <w:rPr>
                <w:sz w:val="1"/>
                <w:szCs w:val="1"/>
                <w:color w:val="auto"/>
              </w:rPr>
            </w:pPr>
          </w:p>
        </w:tc>
      </w:tr>
    </w:tbl>
    <w:p>
      <w:pPr>
        <w:spacing w:after="0" w:line="81" w:lineRule="exact"/>
        <w:rPr>
          <w:sz w:val="24"/>
          <w:szCs w:val="24"/>
          <w:color w:val="auto"/>
        </w:rPr>
      </w:pPr>
    </w:p>
    <w:p>
      <w:pPr>
        <w:jc w:val="both"/>
        <w:ind w:firstLine="599"/>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2" w:lineRule="exact"/>
        <w:rPr>
          <w:sz w:val="24"/>
          <w:szCs w:val="24"/>
          <w:color w:val="auto"/>
        </w:rPr>
      </w:pPr>
    </w:p>
    <w:p>
      <w:pPr>
        <w:ind w:right="100" w:firstLine="599"/>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3" w:lineRule="exact"/>
        <w:rPr>
          <w:sz w:val="24"/>
          <w:szCs w:val="24"/>
          <w:color w:val="auto"/>
        </w:rPr>
      </w:pPr>
    </w:p>
    <w:p>
      <w:pPr>
        <w:jc w:val="both"/>
        <w:ind w:right="260" w:firstLine="599"/>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9"/>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167" w:lineRule="exact"/>
        <w:rPr>
          <w:sz w:val="24"/>
          <w:szCs w:val="24"/>
          <w:color w:val="auto"/>
        </w:rPr>
      </w:pPr>
    </w:p>
    <w:p>
      <w:pPr>
        <w:ind w:right="500" w:firstLine="599"/>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600"/>
        <w:spacing w:after="0" w:line="184" w:lineRule="exact"/>
        <w:tabs>
          <w:tab w:leader="none" w:pos="8140" w:val="left"/>
          <w:tab w:leader="none" w:pos="87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92" w:lineRule="exact"/>
        <w:rPr>
          <w:sz w:val="24"/>
          <w:szCs w:val="24"/>
          <w:color w:val="auto"/>
        </w:rPr>
      </w:pPr>
    </w:p>
    <w:p>
      <w:pPr>
        <w:ind w:left="600"/>
        <w:spacing w:after="0"/>
        <w:rPr>
          <w:sz w:val="20"/>
          <w:szCs w:val="20"/>
          <w:color w:val="auto"/>
        </w:rPr>
      </w:pPr>
      <w:r>
        <w:rPr>
          <w:rFonts w:ascii="Arial" w:cs="Arial" w:eastAsia="Arial" w:hAnsi="Arial"/>
          <w:sz w:val="16"/>
          <w:szCs w:val="16"/>
          <w:color w:val="auto"/>
        </w:rPr>
        <w:t>As of August 4, 2022, the registrant had 47,826,239 shares of Common Stock, par value $0.001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60" w:type="dxa"/>
            <w:vAlign w:val="bottom"/>
          </w:tcPr>
          <w:p>
            <w:pPr>
              <w:spacing w:after="0"/>
              <w:rPr>
                <w:sz w:val="16"/>
                <w:szCs w:val="16"/>
                <w:color w:val="auto"/>
              </w:rPr>
            </w:pPr>
          </w:p>
        </w:tc>
        <w:tc>
          <w:tcPr>
            <w:tcW w:w="9300" w:type="dxa"/>
            <w:vAlign w:val="bottom"/>
            <w:gridSpan w:val="21"/>
            <w:vMerge w:val="restart"/>
          </w:tcPr>
          <w:p>
            <w:pPr>
              <w:spacing w:after="0"/>
              <w:rPr>
                <w:sz w:val="20"/>
                <w:szCs w:val="20"/>
                <w:color w:val="auto"/>
              </w:rPr>
            </w:pPr>
            <w:r>
              <w:rPr>
                <w:rFonts w:ascii="Arial" w:cs="Arial" w:eastAsia="Arial" w:hAnsi="Arial"/>
                <w:sz w:val="18"/>
                <w:szCs w:val="18"/>
                <w:color w:val="0563C1"/>
              </w:rPr>
              <w:t>Special Note Regarding Forward-Looking Statements</w:t>
            </w: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300" w:type="dxa"/>
            <w:vAlign w:val="bottom"/>
            <w:gridSpan w:val="21"/>
            <w:vMerge w:val="continue"/>
          </w:tcPr>
          <w:p>
            <w:pPr>
              <w:spacing w:after="0"/>
              <w:rPr>
                <w:sz w:val="13"/>
                <w:szCs w:val="13"/>
                <w:color w:val="auto"/>
              </w:rPr>
            </w:pPr>
          </w:p>
        </w:tc>
        <w:tc>
          <w:tcPr>
            <w:tcW w:w="780" w:type="dxa"/>
            <w:vAlign w:val="bottom"/>
          </w:tcPr>
          <w:p>
            <w:pPr>
              <w:jc w:val="center"/>
              <w:spacing w:after="0" w:line="155" w:lineRule="exact"/>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385"/>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3880" w:type="dxa"/>
            <w:vAlign w:val="bottom"/>
            <w:tcBorders>
              <w:top w:val="single" w:sz="8" w:color="0563C1"/>
            </w:tcBorders>
            <w:gridSpan w:val="12"/>
          </w:tcPr>
          <w:p>
            <w:pPr>
              <w:spacing w:after="0"/>
              <w:rPr>
                <w:sz w:val="20"/>
                <w:szCs w:val="20"/>
                <w:color w:val="auto"/>
              </w:rPr>
            </w:pPr>
            <w:r>
              <w:rPr>
                <w:rFonts w:ascii="Arial" w:cs="Arial" w:eastAsia="Arial" w:hAnsi="Arial"/>
                <w:sz w:val="18"/>
                <w:szCs w:val="18"/>
                <w:color w:val="0563C1"/>
              </w:rPr>
              <w:t>FINANCIAL INFORMATION</w:t>
            </w:r>
          </w:p>
        </w:tc>
        <w:tc>
          <w:tcPr>
            <w:tcW w:w="5420" w:type="dxa"/>
            <w:vAlign w:val="bottom"/>
            <w:gridSpan w:val="9"/>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21"/>
          </w:tcPr>
          <w:p>
            <w:pPr>
              <w:spacing w:after="0"/>
              <w:rPr>
                <w:sz w:val="20"/>
                <w:szCs w:val="20"/>
                <w:color w:val="auto"/>
              </w:rPr>
            </w:pPr>
            <w:r>
              <w:rPr>
                <w:rFonts w:ascii="Arial" w:cs="Arial" w:eastAsia="Arial" w:hAnsi="Arial"/>
                <w:sz w:val="18"/>
                <w:szCs w:val="18"/>
                <w:color w:val="0563C1"/>
              </w:rPr>
              <w:t>Condensed Consolidated Financial Statements (Unaudited)</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860" w:type="dxa"/>
            <w:vAlign w:val="bottom"/>
            <w:tcBorders>
              <w:top w:val="single" w:sz="8" w:color="0563C1"/>
              <w:bottom w:val="single" w:sz="8" w:color="0563C1"/>
            </w:tcBorders>
            <w:gridSpan w:val="11"/>
          </w:tcPr>
          <w:p>
            <w:pPr>
              <w:spacing w:after="0" w:line="182" w:lineRule="exact"/>
              <w:rPr>
                <w:sz w:val="20"/>
                <w:szCs w:val="20"/>
                <w:color w:val="auto"/>
              </w:rPr>
            </w:pPr>
            <w:r>
              <w:rPr>
                <w:rFonts w:ascii="Arial" w:cs="Arial" w:eastAsia="Arial" w:hAnsi="Arial"/>
                <w:sz w:val="18"/>
                <w:szCs w:val="18"/>
                <w:color w:val="0563C1"/>
                <w:w w:val="88"/>
              </w:rPr>
              <w:t>Condensed Consolidated Balance Sheets (Unaudited)</w:t>
            </w:r>
          </w:p>
        </w:tc>
        <w:tc>
          <w:tcPr>
            <w:tcW w:w="400" w:type="dxa"/>
            <w:vAlign w:val="bottom"/>
            <w:tcBorders>
              <w:top w:val="single" w:sz="8" w:color="0563C1"/>
            </w:tcBorders>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jc w:val="center"/>
              <w:spacing w:after="0" w:line="183" w:lineRule="exact"/>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9300" w:type="dxa"/>
            <w:vAlign w:val="bottom"/>
            <w:gridSpan w:val="21"/>
          </w:tcPr>
          <w:p>
            <w:pPr>
              <w:spacing w:after="0" w:line="182" w:lineRule="exact"/>
              <w:rPr>
                <w:sz w:val="20"/>
                <w:szCs w:val="20"/>
                <w:color w:val="auto"/>
              </w:rPr>
            </w:pPr>
            <w:r>
              <w:rPr>
                <w:rFonts w:ascii="Arial" w:cs="Arial" w:eastAsia="Arial" w:hAnsi="Arial"/>
                <w:sz w:val="18"/>
                <w:szCs w:val="18"/>
                <w:color w:val="0563C1"/>
              </w:rPr>
              <w:t>Condensed Consolidated Statements of Operations and Comprehensive Loss (Unaudited)</w:t>
            </w:r>
          </w:p>
        </w:tc>
        <w:tc>
          <w:tcPr>
            <w:tcW w:w="780" w:type="dxa"/>
            <w:vAlign w:val="bottom"/>
          </w:tcPr>
          <w:p>
            <w:pPr>
              <w:jc w:val="center"/>
              <w:spacing w:after="0" w:line="183" w:lineRule="exact"/>
              <w:rPr>
                <w:sz w:val="20"/>
                <w:szCs w:val="20"/>
                <w:color w:val="auto"/>
              </w:rPr>
            </w:pPr>
            <w:r>
              <w:rPr>
                <w:rFonts w:ascii="Arial" w:cs="Arial" w:eastAsia="Arial" w:hAnsi="Arial"/>
                <w:sz w:val="16"/>
                <w:szCs w:val="16"/>
                <w:color w:val="auto"/>
                <w:w w:val="89"/>
              </w:rPr>
              <w:t>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020" w:type="dxa"/>
            <w:vAlign w:val="bottom"/>
            <w:gridSpan w:val="4"/>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152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9300" w:type="dxa"/>
            <w:vAlign w:val="bottom"/>
            <w:gridSpan w:val="21"/>
          </w:tcPr>
          <w:p>
            <w:pPr>
              <w:spacing w:after="0" w:line="182" w:lineRule="exact"/>
              <w:rPr>
                <w:sz w:val="20"/>
                <w:szCs w:val="20"/>
                <w:color w:val="auto"/>
              </w:rPr>
            </w:pPr>
            <w:r>
              <w:rPr>
                <w:rFonts w:ascii="Arial" w:cs="Arial" w:eastAsia="Arial" w:hAnsi="Arial"/>
                <w:sz w:val="18"/>
                <w:szCs w:val="18"/>
                <w:color w:val="0563C1"/>
                <w:w w:val="97"/>
              </w:rPr>
              <w:t>Condensed Consolidated Statements of Redeemable Convertible Preferred Stock and Stockholders’ Equity (Unaudited)</w:t>
            </w:r>
          </w:p>
        </w:tc>
        <w:tc>
          <w:tcPr>
            <w:tcW w:w="780" w:type="dxa"/>
            <w:vAlign w:val="bottom"/>
          </w:tcPr>
          <w:p>
            <w:pPr>
              <w:jc w:val="center"/>
              <w:spacing w:after="0" w:line="183" w:lineRule="exact"/>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4640" w:type="dxa"/>
            <w:vAlign w:val="bottom"/>
            <w:tcBorders>
              <w:top w:val="single" w:sz="8" w:color="0563C1"/>
              <w:bottom w:val="single" w:sz="8" w:color="0563C1"/>
            </w:tcBorders>
            <w:gridSpan w:val="16"/>
          </w:tcPr>
          <w:p>
            <w:pPr>
              <w:spacing w:after="0" w:line="182" w:lineRule="exact"/>
              <w:rPr>
                <w:sz w:val="20"/>
                <w:szCs w:val="20"/>
                <w:color w:val="auto"/>
              </w:rPr>
            </w:pPr>
            <w:r>
              <w:rPr>
                <w:rFonts w:ascii="Arial" w:cs="Arial" w:eastAsia="Arial" w:hAnsi="Arial"/>
                <w:sz w:val="18"/>
                <w:szCs w:val="18"/>
                <w:color w:val="0563C1"/>
                <w:w w:val="89"/>
              </w:rPr>
              <w:t>Condensed Consolidated Statements of Cash Flows (Unaudited)</w:t>
            </w:r>
          </w:p>
        </w:tc>
        <w:tc>
          <w:tcPr>
            <w:tcW w:w="3980" w:type="dxa"/>
            <w:vAlign w:val="bottom"/>
            <w:tcBorders>
              <w:top w:val="single" w:sz="8" w:color="0563C1"/>
            </w:tcBorders>
            <w:gridSpan w:val="4"/>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jc w:val="center"/>
              <w:spacing w:after="0" w:line="183" w:lineRule="exact"/>
              <w:rPr>
                <w:sz w:val="20"/>
                <w:szCs w:val="20"/>
                <w:color w:val="auto"/>
              </w:rPr>
            </w:pPr>
            <w:r>
              <w:rPr>
                <w:rFonts w:ascii="Arial" w:cs="Arial" w:eastAsia="Arial" w:hAnsi="Arial"/>
                <w:sz w:val="16"/>
                <w:szCs w:val="16"/>
                <w:color w:val="auto"/>
                <w:w w:val="89"/>
              </w:rPr>
              <w:t>9</w:t>
            </w:r>
          </w:p>
        </w:tc>
        <w:tc>
          <w:tcPr>
            <w:tcW w:w="0" w:type="dxa"/>
            <w:vAlign w:val="bottom"/>
          </w:tcPr>
          <w:p>
            <w:pPr>
              <w:spacing w:after="0"/>
              <w:rPr>
                <w:sz w:val="1"/>
                <w:szCs w:val="1"/>
                <w:color w:val="auto"/>
              </w:rPr>
            </w:pPr>
          </w:p>
        </w:tc>
      </w:tr>
      <w:tr>
        <w:trPr>
          <w:trHeight w:val="183"/>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Item 2.</w:t>
            </w:r>
          </w:p>
        </w:tc>
        <w:tc>
          <w:tcPr>
            <w:tcW w:w="9300" w:type="dxa"/>
            <w:vAlign w:val="bottom"/>
            <w:gridSpan w:val="21"/>
          </w:tcPr>
          <w:p>
            <w:pPr>
              <w:spacing w:after="0" w:line="182" w:lineRule="exact"/>
              <w:rPr>
                <w:sz w:val="20"/>
                <w:szCs w:val="20"/>
                <w:color w:val="auto"/>
              </w:rPr>
            </w:pPr>
            <w:r>
              <w:rPr>
                <w:rFonts w:ascii="Arial" w:cs="Arial" w:eastAsia="Arial" w:hAnsi="Arial"/>
                <w:sz w:val="18"/>
                <w:szCs w:val="18"/>
                <w:color w:val="0563C1"/>
              </w:rPr>
              <w:t>Notes to Condensed Consolidated Financial Statements (Unaudited)</w:t>
            </w:r>
          </w:p>
        </w:tc>
        <w:tc>
          <w:tcPr>
            <w:tcW w:w="780" w:type="dxa"/>
            <w:vAlign w:val="bottom"/>
          </w:tcPr>
          <w:p>
            <w:pPr>
              <w:jc w:val="center"/>
              <w:spacing w:after="0" w:line="183" w:lineRule="exact"/>
              <w:rPr>
                <w:sz w:val="20"/>
                <w:szCs w:val="20"/>
                <w:color w:val="auto"/>
              </w:rPr>
            </w:pPr>
            <w:r>
              <w:rPr>
                <w:rFonts w:ascii="Arial" w:cs="Arial" w:eastAsia="Arial" w:hAnsi="Arial"/>
                <w:sz w:val="16"/>
                <w:szCs w:val="16"/>
                <w:color w:val="auto"/>
                <w:w w:val="89"/>
              </w:rPr>
              <w:t>10</w:t>
            </w: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4920" w:type="dxa"/>
            <w:vAlign w:val="bottom"/>
            <w:tcBorders>
              <w:top w:val="single" w:sz="8" w:color="0563C1"/>
            </w:tcBorders>
            <w:gridSpan w:val="17"/>
          </w:tcPr>
          <w:p>
            <w:pPr>
              <w:spacing w:after="0" w:line="182" w:lineRule="exact"/>
              <w:rPr>
                <w:sz w:val="20"/>
                <w:szCs w:val="20"/>
                <w:color w:val="auto"/>
              </w:rPr>
            </w:pPr>
            <w:r>
              <w:rPr>
                <w:rFonts w:ascii="Arial" w:cs="Arial" w:eastAsia="Arial" w:hAnsi="Arial"/>
                <w:sz w:val="18"/>
                <w:szCs w:val="18"/>
                <w:color w:val="0563C1"/>
                <w:w w:val="92"/>
              </w:rPr>
              <w:t>Management’s Discussion and Analysis of Financial Condition and</w:t>
            </w:r>
          </w:p>
        </w:tc>
        <w:tc>
          <w:tcPr>
            <w:tcW w:w="4380" w:type="dxa"/>
            <w:vAlign w:val="bottom"/>
            <w:gridSpan w:val="4"/>
          </w:tcPr>
          <w:p>
            <w:pPr>
              <w:spacing w:after="0" w:line="182" w:lineRule="exact"/>
              <w:rPr>
                <w:sz w:val="20"/>
                <w:szCs w:val="20"/>
                <w:color w:val="auto"/>
              </w:rPr>
            </w:pPr>
            <w:r>
              <w:rPr>
                <w:rFonts w:ascii="Arial" w:cs="Arial" w:eastAsia="Arial" w:hAnsi="Arial"/>
                <w:sz w:val="18"/>
                <w:szCs w:val="18"/>
                <w:color w:val="0563C1"/>
              </w:rPr>
              <w:t>Results of Operations</w:t>
            </w:r>
          </w:p>
        </w:tc>
        <w:tc>
          <w:tcPr>
            <w:tcW w:w="780" w:type="dxa"/>
            <w:vAlign w:val="bottom"/>
          </w:tcPr>
          <w:p>
            <w:pPr>
              <w:jc w:val="center"/>
              <w:spacing w:after="0" w:line="183" w:lineRule="exact"/>
              <w:rPr>
                <w:sz w:val="20"/>
                <w:szCs w:val="20"/>
                <w:color w:val="auto"/>
              </w:rPr>
            </w:pPr>
            <w:r>
              <w:rPr>
                <w:rFonts w:ascii="Arial" w:cs="Arial" w:eastAsia="Arial" w:hAnsi="Arial"/>
                <w:sz w:val="16"/>
                <w:szCs w:val="16"/>
                <w:color w:val="auto"/>
                <w:w w:val="89"/>
              </w:rPr>
              <w:t>23</w:t>
            </w:r>
          </w:p>
        </w:tc>
        <w:tc>
          <w:tcPr>
            <w:tcW w:w="0" w:type="dxa"/>
            <w:vAlign w:val="bottom"/>
          </w:tcPr>
          <w:p>
            <w:pPr>
              <w:spacing w:after="0"/>
              <w:rPr>
                <w:sz w:val="1"/>
                <w:szCs w:val="1"/>
                <w:color w:val="auto"/>
              </w:rPr>
            </w:pPr>
          </w:p>
        </w:tc>
      </w:tr>
      <w:tr>
        <w:trPr>
          <w:trHeight w:val="183"/>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563C1"/>
            </w:tcBorders>
            <w:gridSpan w:val="19"/>
          </w:tcPr>
          <w:p>
            <w:pPr>
              <w:spacing w:after="0" w:line="182" w:lineRule="exact"/>
              <w:rPr>
                <w:sz w:val="20"/>
                <w:szCs w:val="20"/>
                <w:color w:val="auto"/>
              </w:rPr>
            </w:pPr>
            <w:r>
              <w:rPr>
                <w:rFonts w:ascii="Arial" w:cs="Arial" w:eastAsia="Arial" w:hAnsi="Arial"/>
                <w:sz w:val="18"/>
                <w:szCs w:val="18"/>
                <w:color w:val="0563C1"/>
              </w:rPr>
              <w:t>Quantitative and Qualitative Disclosures About Market Risk</w:t>
            </w:r>
          </w:p>
        </w:tc>
        <w:tc>
          <w:tcPr>
            <w:tcW w:w="2840" w:type="dxa"/>
            <w:vAlign w:val="bottom"/>
            <w:gridSpan w:val="2"/>
          </w:tcPr>
          <w:p>
            <w:pPr>
              <w:spacing w:after="0"/>
              <w:rPr>
                <w:sz w:val="15"/>
                <w:szCs w:val="15"/>
                <w:color w:val="auto"/>
              </w:rPr>
            </w:pPr>
          </w:p>
        </w:tc>
        <w:tc>
          <w:tcPr>
            <w:tcW w:w="780" w:type="dxa"/>
            <w:vAlign w:val="bottom"/>
          </w:tcPr>
          <w:p>
            <w:pPr>
              <w:jc w:val="center"/>
              <w:spacing w:after="0" w:line="183" w:lineRule="exact"/>
              <w:rPr>
                <w:sz w:val="20"/>
                <w:szCs w:val="20"/>
                <w:color w:val="auto"/>
              </w:rPr>
            </w:pPr>
            <w:r>
              <w:rPr>
                <w:rFonts w:ascii="Arial" w:cs="Arial" w:eastAsia="Arial" w:hAnsi="Arial"/>
                <w:sz w:val="16"/>
                <w:szCs w:val="16"/>
                <w:color w:val="auto"/>
                <w:w w:val="89"/>
              </w:rPr>
              <w:t>33</w:t>
            </w:r>
          </w:p>
        </w:tc>
        <w:tc>
          <w:tcPr>
            <w:tcW w:w="0" w:type="dxa"/>
            <w:vAlign w:val="bottom"/>
          </w:tcPr>
          <w:p>
            <w:pPr>
              <w:spacing w:after="0"/>
              <w:rPr>
                <w:sz w:val="1"/>
                <w:szCs w:val="1"/>
                <w:color w:val="auto"/>
              </w:rPr>
            </w:pPr>
          </w:p>
        </w:tc>
      </w:tr>
      <w:tr>
        <w:trPr>
          <w:trHeight w:val="183"/>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563C1"/>
              <w:bottom w:val="single" w:sz="8" w:color="0563C1"/>
            </w:tcBorders>
            <w:gridSpan w:val="6"/>
          </w:tcPr>
          <w:p>
            <w:pPr>
              <w:spacing w:after="0" w:line="182" w:lineRule="exact"/>
              <w:rPr>
                <w:sz w:val="20"/>
                <w:szCs w:val="20"/>
                <w:color w:val="auto"/>
              </w:rPr>
            </w:pPr>
            <w:r>
              <w:rPr>
                <w:rFonts w:ascii="Arial" w:cs="Arial" w:eastAsia="Arial" w:hAnsi="Arial"/>
                <w:sz w:val="18"/>
                <w:szCs w:val="18"/>
                <w:color w:val="0563C1"/>
                <w:w w:val="88"/>
              </w:rPr>
              <w:t>Controls and Procedures</w:t>
            </w:r>
          </w:p>
        </w:tc>
        <w:tc>
          <w:tcPr>
            <w:tcW w:w="20" w:type="dxa"/>
            <w:vAlign w:val="bottom"/>
            <w:tcBorders>
              <w:top w:val="single" w:sz="8" w:color="0563C1"/>
              <w:bottom w:val="single" w:sz="8" w:color="0000EE"/>
            </w:tcBorders>
          </w:tcPr>
          <w:p>
            <w:pPr>
              <w:spacing w:after="0"/>
              <w:rPr>
                <w:sz w:val="15"/>
                <w:szCs w:val="15"/>
                <w:color w:val="auto"/>
              </w:rPr>
            </w:pPr>
          </w:p>
        </w:tc>
        <w:tc>
          <w:tcPr>
            <w:tcW w:w="2580" w:type="dxa"/>
            <w:vAlign w:val="bottom"/>
            <w:tcBorders>
              <w:top w:val="single" w:sz="8" w:color="0563C1"/>
            </w:tcBorders>
            <w:gridSpan w:val="8"/>
          </w:tcPr>
          <w:p>
            <w:pPr>
              <w:spacing w:after="0"/>
              <w:rPr>
                <w:sz w:val="15"/>
                <w:szCs w:val="15"/>
                <w:color w:val="auto"/>
              </w:rPr>
            </w:pPr>
          </w:p>
        </w:tc>
        <w:tc>
          <w:tcPr>
            <w:tcW w:w="4920" w:type="dxa"/>
            <w:vAlign w:val="bottom"/>
            <w:gridSpan w:val="6"/>
          </w:tcPr>
          <w:p>
            <w:pPr>
              <w:spacing w:after="0"/>
              <w:rPr>
                <w:sz w:val="15"/>
                <w:szCs w:val="15"/>
                <w:color w:val="auto"/>
              </w:rPr>
            </w:pPr>
          </w:p>
        </w:tc>
        <w:tc>
          <w:tcPr>
            <w:tcW w:w="780" w:type="dxa"/>
            <w:vAlign w:val="bottom"/>
          </w:tcPr>
          <w:p>
            <w:pPr>
              <w:jc w:val="center"/>
              <w:spacing w:after="0" w:line="183" w:lineRule="exact"/>
              <w:rPr>
                <w:sz w:val="20"/>
                <w:szCs w:val="20"/>
                <w:color w:val="auto"/>
              </w:rPr>
            </w:pPr>
            <w:r>
              <w:rPr>
                <w:rFonts w:ascii="Arial" w:cs="Arial" w:eastAsia="Arial" w:hAnsi="Arial"/>
                <w:sz w:val="16"/>
                <w:szCs w:val="16"/>
                <w:color w:val="auto"/>
                <w:w w:val="89"/>
              </w:rPr>
              <w:t>33</w:t>
            </w:r>
          </w:p>
        </w:tc>
        <w:tc>
          <w:tcPr>
            <w:tcW w:w="0" w:type="dxa"/>
            <w:vAlign w:val="bottom"/>
          </w:tcPr>
          <w:p>
            <w:pPr>
              <w:spacing w:after="0"/>
              <w:rPr>
                <w:sz w:val="1"/>
                <w:szCs w:val="1"/>
                <w:color w:val="auto"/>
              </w:rPr>
            </w:pPr>
          </w:p>
        </w:tc>
      </w:tr>
      <w:tr>
        <w:trPr>
          <w:trHeight w:val="385"/>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563C1"/>
            </w:tcBorders>
            <w:gridSpan w:val="8"/>
          </w:tcPr>
          <w:p>
            <w:pPr>
              <w:spacing w:after="0"/>
              <w:rPr>
                <w:sz w:val="20"/>
                <w:szCs w:val="20"/>
                <w:color w:val="auto"/>
              </w:rPr>
            </w:pPr>
            <w:r>
              <w:rPr>
                <w:rFonts w:ascii="Arial" w:cs="Arial" w:eastAsia="Arial" w:hAnsi="Arial"/>
                <w:sz w:val="18"/>
                <w:szCs w:val="18"/>
                <w:color w:val="0563C1"/>
                <w:w w:val="96"/>
              </w:rPr>
              <w:t>OTHER INFORMATION</w:t>
            </w:r>
          </w:p>
        </w:tc>
        <w:tc>
          <w:tcPr>
            <w:tcW w:w="7400" w:type="dxa"/>
            <w:vAlign w:val="bottom"/>
            <w:gridSpan w:val="13"/>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34</w:t>
            </w:r>
          </w:p>
        </w:tc>
        <w:tc>
          <w:tcPr>
            <w:tcW w:w="0" w:type="dxa"/>
            <w:vAlign w:val="bottom"/>
          </w:tcPr>
          <w:p>
            <w:pPr>
              <w:spacing w:after="0"/>
              <w:rPr>
                <w:sz w:val="1"/>
                <w:szCs w:val="1"/>
                <w:color w:val="auto"/>
              </w:rPr>
            </w:pPr>
          </w:p>
        </w:tc>
      </w:tr>
      <w:tr>
        <w:trPr>
          <w:trHeight w:val="385"/>
        </w:trPr>
        <w:tc>
          <w:tcPr>
            <w:tcW w:w="1160" w:type="dxa"/>
            <w:vAlign w:val="bottom"/>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21"/>
          </w:tcPr>
          <w:p>
            <w:pPr>
              <w:spacing w:after="0"/>
              <w:rPr>
                <w:sz w:val="20"/>
                <w:szCs w:val="20"/>
                <w:color w:val="auto"/>
              </w:rPr>
            </w:pPr>
            <w:r>
              <w:rPr>
                <w:rFonts w:ascii="Arial" w:cs="Arial" w:eastAsia="Arial" w:hAnsi="Arial"/>
                <w:sz w:val="18"/>
                <w:szCs w:val="18"/>
                <w:color w:val="0563C1"/>
              </w:rPr>
              <w:t>Legal Proceedings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34</w:t>
            </w:r>
          </w:p>
        </w:tc>
        <w:tc>
          <w:tcPr>
            <w:tcW w:w="0" w:type="dxa"/>
            <w:vAlign w:val="bottom"/>
          </w:tcPr>
          <w:p>
            <w:pPr>
              <w:spacing w:after="0"/>
              <w:rPr>
                <w:sz w:val="1"/>
                <w:szCs w:val="1"/>
                <w:color w:val="auto"/>
              </w:rPr>
            </w:pPr>
          </w:p>
        </w:tc>
      </w:tr>
      <w:tr>
        <w:trPr>
          <w:trHeight w:val="183"/>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Item 1A.</w:t>
            </w:r>
          </w:p>
        </w:tc>
        <w:tc>
          <w:tcPr>
            <w:tcW w:w="1340" w:type="dxa"/>
            <w:vAlign w:val="bottom"/>
            <w:tcBorders>
              <w:top w:val="single" w:sz="8" w:color="0563C1"/>
            </w:tcBorders>
            <w:gridSpan w:val="5"/>
          </w:tcPr>
          <w:p>
            <w:pPr>
              <w:spacing w:after="0" w:line="182" w:lineRule="exact"/>
              <w:rPr>
                <w:sz w:val="20"/>
                <w:szCs w:val="20"/>
                <w:color w:val="auto"/>
              </w:rPr>
            </w:pPr>
            <w:r>
              <w:rPr>
                <w:rFonts w:ascii="Arial" w:cs="Arial" w:eastAsia="Arial" w:hAnsi="Arial"/>
                <w:sz w:val="18"/>
                <w:szCs w:val="18"/>
                <w:color w:val="0563C1"/>
              </w:rPr>
              <w:t>Risk Factors</w:t>
            </w:r>
          </w:p>
        </w:tc>
        <w:tc>
          <w:tcPr>
            <w:tcW w:w="1000" w:type="dxa"/>
            <w:vAlign w:val="bottom"/>
            <w:gridSpan w:val="5"/>
          </w:tcPr>
          <w:p>
            <w:pPr>
              <w:spacing w:after="0"/>
              <w:rPr>
                <w:sz w:val="15"/>
                <w:szCs w:val="15"/>
                <w:color w:val="auto"/>
              </w:rPr>
            </w:pPr>
          </w:p>
        </w:tc>
        <w:tc>
          <w:tcPr>
            <w:tcW w:w="2020" w:type="dxa"/>
            <w:vAlign w:val="bottom"/>
            <w:gridSpan w:val="4"/>
          </w:tcPr>
          <w:p>
            <w:pPr>
              <w:spacing w:after="0"/>
              <w:rPr>
                <w:sz w:val="15"/>
                <w:szCs w:val="15"/>
                <w:color w:val="auto"/>
              </w:rPr>
            </w:pPr>
          </w:p>
        </w:tc>
        <w:tc>
          <w:tcPr>
            <w:tcW w:w="4940" w:type="dxa"/>
            <w:vAlign w:val="bottom"/>
            <w:gridSpan w:val="7"/>
          </w:tcPr>
          <w:p>
            <w:pPr>
              <w:spacing w:after="0"/>
              <w:rPr>
                <w:sz w:val="15"/>
                <w:szCs w:val="15"/>
                <w:color w:val="auto"/>
              </w:rPr>
            </w:pPr>
          </w:p>
        </w:tc>
        <w:tc>
          <w:tcPr>
            <w:tcW w:w="780" w:type="dxa"/>
            <w:vAlign w:val="bottom"/>
          </w:tcPr>
          <w:p>
            <w:pPr>
              <w:jc w:val="center"/>
              <w:spacing w:after="0" w:line="183" w:lineRule="exact"/>
              <w:rPr>
                <w:sz w:val="20"/>
                <w:szCs w:val="20"/>
                <w:color w:val="auto"/>
              </w:rPr>
            </w:pPr>
            <w:r>
              <w:rPr>
                <w:rFonts w:ascii="Arial" w:cs="Arial" w:eastAsia="Arial" w:hAnsi="Arial"/>
                <w:sz w:val="16"/>
                <w:szCs w:val="16"/>
                <w:color w:val="auto"/>
                <w:w w:val="89"/>
              </w:rPr>
              <w:t>34</w:t>
            </w:r>
          </w:p>
        </w:tc>
        <w:tc>
          <w:tcPr>
            <w:tcW w:w="0" w:type="dxa"/>
            <w:vAlign w:val="bottom"/>
          </w:tcPr>
          <w:p>
            <w:pPr>
              <w:spacing w:after="0"/>
              <w:rPr>
                <w:sz w:val="1"/>
                <w:szCs w:val="1"/>
                <w:color w:val="auto"/>
              </w:rPr>
            </w:pPr>
          </w:p>
        </w:tc>
      </w:tr>
      <w:tr>
        <w:trPr>
          <w:trHeight w:val="183"/>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Item 2.</w:t>
            </w:r>
          </w:p>
        </w:tc>
        <w:tc>
          <w:tcPr>
            <w:tcW w:w="920" w:type="dxa"/>
            <w:vAlign w:val="bottom"/>
            <w:tcBorders>
              <w:top w:val="single" w:sz="8" w:color="0563C1"/>
            </w:tcBorders>
            <w:gridSpan w:val="3"/>
          </w:tcPr>
          <w:p>
            <w:pPr>
              <w:spacing w:after="0" w:line="182" w:lineRule="exact"/>
              <w:rPr>
                <w:sz w:val="20"/>
                <w:szCs w:val="20"/>
                <w:color w:val="auto"/>
              </w:rPr>
            </w:pPr>
            <w:r>
              <w:rPr>
                <w:rFonts w:ascii="Arial" w:cs="Arial" w:eastAsia="Arial" w:hAnsi="Arial"/>
                <w:sz w:val="18"/>
                <w:szCs w:val="18"/>
                <w:color w:val="0563C1"/>
                <w:w w:val="87"/>
              </w:rPr>
              <w:t>Unregistered</w:t>
            </w:r>
          </w:p>
        </w:tc>
        <w:tc>
          <w:tcPr>
            <w:tcW w:w="8380" w:type="dxa"/>
            <w:vAlign w:val="bottom"/>
            <w:gridSpan w:val="18"/>
          </w:tcPr>
          <w:p>
            <w:pPr>
              <w:ind w:left="60"/>
              <w:spacing w:after="0" w:line="182" w:lineRule="exact"/>
              <w:rPr>
                <w:sz w:val="20"/>
                <w:szCs w:val="20"/>
                <w:color w:val="auto"/>
              </w:rPr>
            </w:pPr>
            <w:r>
              <w:rPr>
                <w:rFonts w:ascii="Arial" w:cs="Arial" w:eastAsia="Arial" w:hAnsi="Arial"/>
                <w:sz w:val="18"/>
                <w:szCs w:val="18"/>
                <w:color w:val="0563C1"/>
              </w:rPr>
              <w:t>Sales of Equity Securities and Use of Proceeds</w:t>
            </w:r>
          </w:p>
        </w:tc>
        <w:tc>
          <w:tcPr>
            <w:tcW w:w="780" w:type="dxa"/>
            <w:vAlign w:val="bottom"/>
          </w:tcPr>
          <w:p>
            <w:pPr>
              <w:jc w:val="center"/>
              <w:spacing w:after="0" w:line="183" w:lineRule="exact"/>
              <w:rPr>
                <w:sz w:val="20"/>
                <w:szCs w:val="20"/>
                <w:color w:val="auto"/>
              </w:rPr>
            </w:pPr>
            <w:r>
              <w:rPr>
                <w:rFonts w:ascii="Arial" w:cs="Arial" w:eastAsia="Arial" w:hAnsi="Arial"/>
                <w:sz w:val="16"/>
                <w:szCs w:val="16"/>
                <w:color w:val="auto"/>
                <w:w w:val="89"/>
              </w:rPr>
              <w:t>35</w:t>
            </w:r>
          </w:p>
        </w:tc>
        <w:tc>
          <w:tcPr>
            <w:tcW w:w="0" w:type="dxa"/>
            <w:vAlign w:val="bottom"/>
          </w:tcPr>
          <w:p>
            <w:pPr>
              <w:spacing w:after="0"/>
              <w:rPr>
                <w:sz w:val="1"/>
                <w:szCs w:val="1"/>
                <w:color w:val="auto"/>
              </w:rPr>
            </w:pPr>
          </w:p>
        </w:tc>
      </w:tr>
      <w:tr>
        <w:trPr>
          <w:trHeight w:val="183"/>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563C1"/>
            </w:tcBorders>
            <w:gridSpan w:val="14"/>
          </w:tcPr>
          <w:p>
            <w:pPr>
              <w:spacing w:after="0" w:line="182" w:lineRule="exact"/>
              <w:rPr>
                <w:sz w:val="20"/>
                <w:szCs w:val="20"/>
                <w:color w:val="auto"/>
              </w:rPr>
            </w:pPr>
            <w:r>
              <w:rPr>
                <w:rFonts w:ascii="Arial" w:cs="Arial" w:eastAsia="Arial" w:hAnsi="Arial"/>
                <w:sz w:val="18"/>
                <w:szCs w:val="18"/>
                <w:color w:val="0563C1"/>
              </w:rPr>
              <w:t>Defaults Upon Senior Securities</w:t>
            </w:r>
          </w:p>
        </w:tc>
        <w:tc>
          <w:tcPr>
            <w:tcW w:w="4940" w:type="dxa"/>
            <w:vAlign w:val="bottom"/>
            <w:gridSpan w:val="7"/>
          </w:tcPr>
          <w:p>
            <w:pPr>
              <w:spacing w:after="0"/>
              <w:rPr>
                <w:sz w:val="15"/>
                <w:szCs w:val="15"/>
                <w:color w:val="auto"/>
              </w:rPr>
            </w:pPr>
          </w:p>
        </w:tc>
        <w:tc>
          <w:tcPr>
            <w:tcW w:w="780" w:type="dxa"/>
            <w:vAlign w:val="bottom"/>
          </w:tcPr>
          <w:p>
            <w:pPr>
              <w:jc w:val="center"/>
              <w:spacing w:after="0" w:line="183" w:lineRule="exact"/>
              <w:rPr>
                <w:sz w:val="20"/>
                <w:szCs w:val="20"/>
                <w:color w:val="auto"/>
              </w:rPr>
            </w:pPr>
            <w:r>
              <w:rPr>
                <w:rFonts w:ascii="Arial" w:cs="Arial" w:eastAsia="Arial" w:hAnsi="Arial"/>
                <w:sz w:val="16"/>
                <w:szCs w:val="16"/>
                <w:color w:val="auto"/>
                <w:w w:val="89"/>
              </w:rPr>
              <w:t>35</w:t>
            </w:r>
          </w:p>
        </w:tc>
        <w:tc>
          <w:tcPr>
            <w:tcW w:w="0" w:type="dxa"/>
            <w:vAlign w:val="bottom"/>
          </w:tcPr>
          <w:p>
            <w:pPr>
              <w:spacing w:after="0"/>
              <w:rPr>
                <w:sz w:val="1"/>
                <w:szCs w:val="1"/>
                <w:color w:val="auto"/>
              </w:rPr>
            </w:pPr>
          </w:p>
        </w:tc>
      </w:tr>
      <w:tr>
        <w:trPr>
          <w:trHeight w:val="183"/>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Item 4.</w:t>
            </w:r>
          </w:p>
        </w:tc>
        <w:tc>
          <w:tcPr>
            <w:tcW w:w="2340" w:type="dxa"/>
            <w:vAlign w:val="bottom"/>
            <w:tcBorders>
              <w:top w:val="single" w:sz="8" w:color="0563C1"/>
            </w:tcBorders>
            <w:gridSpan w:val="10"/>
          </w:tcPr>
          <w:p>
            <w:pPr>
              <w:spacing w:after="0" w:line="182" w:lineRule="exact"/>
              <w:rPr>
                <w:sz w:val="20"/>
                <w:szCs w:val="20"/>
                <w:color w:val="auto"/>
              </w:rPr>
            </w:pPr>
            <w:r>
              <w:rPr>
                <w:rFonts w:ascii="Arial" w:cs="Arial" w:eastAsia="Arial" w:hAnsi="Arial"/>
                <w:sz w:val="18"/>
                <w:szCs w:val="18"/>
                <w:color w:val="0563C1"/>
              </w:rPr>
              <w:t>Mine Safety Disclosures</w:t>
            </w:r>
          </w:p>
        </w:tc>
        <w:tc>
          <w:tcPr>
            <w:tcW w:w="6960" w:type="dxa"/>
            <w:vAlign w:val="bottom"/>
            <w:gridSpan w:val="11"/>
          </w:tcPr>
          <w:p>
            <w:pPr>
              <w:spacing w:after="0"/>
              <w:rPr>
                <w:sz w:val="15"/>
                <w:szCs w:val="15"/>
                <w:color w:val="auto"/>
              </w:rPr>
            </w:pPr>
          </w:p>
        </w:tc>
        <w:tc>
          <w:tcPr>
            <w:tcW w:w="780" w:type="dxa"/>
            <w:vAlign w:val="bottom"/>
          </w:tcPr>
          <w:p>
            <w:pPr>
              <w:jc w:val="center"/>
              <w:spacing w:after="0" w:line="183" w:lineRule="exact"/>
              <w:rPr>
                <w:sz w:val="20"/>
                <w:szCs w:val="20"/>
                <w:color w:val="auto"/>
              </w:rPr>
            </w:pPr>
            <w:r>
              <w:rPr>
                <w:rFonts w:ascii="Arial" w:cs="Arial" w:eastAsia="Arial" w:hAnsi="Arial"/>
                <w:sz w:val="16"/>
                <w:szCs w:val="16"/>
                <w:color w:val="auto"/>
                <w:w w:val="89"/>
              </w:rPr>
              <w:t>35</w:t>
            </w:r>
          </w:p>
        </w:tc>
        <w:tc>
          <w:tcPr>
            <w:tcW w:w="0" w:type="dxa"/>
            <w:vAlign w:val="bottom"/>
          </w:tcPr>
          <w:p>
            <w:pPr>
              <w:spacing w:after="0"/>
              <w:rPr>
                <w:sz w:val="1"/>
                <w:szCs w:val="1"/>
                <w:color w:val="auto"/>
              </w:rPr>
            </w:pPr>
          </w:p>
        </w:tc>
      </w:tr>
      <w:tr>
        <w:trPr>
          <w:trHeight w:val="183"/>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Item 5.</w:t>
            </w:r>
          </w:p>
        </w:tc>
        <w:tc>
          <w:tcPr>
            <w:tcW w:w="1780" w:type="dxa"/>
            <w:vAlign w:val="bottom"/>
            <w:tcBorders>
              <w:top w:val="single" w:sz="8" w:color="0563C1"/>
            </w:tcBorders>
            <w:gridSpan w:val="6"/>
          </w:tcPr>
          <w:p>
            <w:pPr>
              <w:spacing w:after="0" w:line="182" w:lineRule="exact"/>
              <w:rPr>
                <w:sz w:val="20"/>
                <w:szCs w:val="20"/>
                <w:color w:val="auto"/>
              </w:rPr>
            </w:pPr>
            <w:r>
              <w:rPr>
                <w:rFonts w:ascii="Arial" w:cs="Arial" w:eastAsia="Arial" w:hAnsi="Arial"/>
                <w:sz w:val="18"/>
                <w:szCs w:val="18"/>
                <w:color w:val="0563C1"/>
              </w:rPr>
              <w:t>Other Information</w:t>
            </w:r>
          </w:p>
        </w:tc>
        <w:tc>
          <w:tcPr>
            <w:tcW w:w="7520" w:type="dxa"/>
            <w:vAlign w:val="bottom"/>
            <w:gridSpan w:val="15"/>
          </w:tcPr>
          <w:p>
            <w:pPr>
              <w:spacing w:after="0"/>
              <w:rPr>
                <w:sz w:val="15"/>
                <w:szCs w:val="15"/>
                <w:color w:val="auto"/>
              </w:rPr>
            </w:pPr>
          </w:p>
        </w:tc>
        <w:tc>
          <w:tcPr>
            <w:tcW w:w="780" w:type="dxa"/>
            <w:vAlign w:val="bottom"/>
          </w:tcPr>
          <w:p>
            <w:pPr>
              <w:jc w:val="center"/>
              <w:spacing w:after="0" w:line="183" w:lineRule="exact"/>
              <w:rPr>
                <w:sz w:val="20"/>
                <w:szCs w:val="20"/>
                <w:color w:val="auto"/>
              </w:rPr>
            </w:pPr>
            <w:r>
              <w:rPr>
                <w:rFonts w:ascii="Arial" w:cs="Arial" w:eastAsia="Arial" w:hAnsi="Arial"/>
                <w:sz w:val="16"/>
                <w:szCs w:val="16"/>
                <w:color w:val="auto"/>
                <w:w w:val="89"/>
              </w:rPr>
              <w:t>35</w:t>
            </w:r>
          </w:p>
        </w:tc>
        <w:tc>
          <w:tcPr>
            <w:tcW w:w="0" w:type="dxa"/>
            <w:vAlign w:val="bottom"/>
          </w:tcPr>
          <w:p>
            <w:pPr>
              <w:spacing w:after="0"/>
              <w:rPr>
                <w:sz w:val="1"/>
                <w:szCs w:val="1"/>
                <w:color w:val="auto"/>
              </w:rPr>
            </w:pPr>
          </w:p>
        </w:tc>
      </w:tr>
      <w:tr>
        <w:trPr>
          <w:trHeight w:val="183"/>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563C1"/>
            </w:tcBorders>
            <w:gridSpan w:val="4"/>
          </w:tcPr>
          <w:p>
            <w:pPr>
              <w:spacing w:after="0" w:line="182" w:lineRule="exact"/>
              <w:rPr>
                <w:sz w:val="20"/>
                <w:szCs w:val="20"/>
                <w:color w:val="auto"/>
              </w:rPr>
            </w:pPr>
            <w:r>
              <w:rPr>
                <w:rFonts w:ascii="Arial" w:cs="Arial" w:eastAsia="Arial" w:hAnsi="Arial"/>
                <w:sz w:val="18"/>
                <w:szCs w:val="18"/>
                <w:color w:val="0563C1"/>
              </w:rPr>
              <w:t>Exhibits</w:t>
            </w:r>
          </w:p>
        </w:tc>
        <w:tc>
          <w:tcPr>
            <w:tcW w:w="7980" w:type="dxa"/>
            <w:vAlign w:val="bottom"/>
            <w:gridSpan w:val="17"/>
          </w:tcPr>
          <w:p>
            <w:pPr>
              <w:spacing w:after="0"/>
              <w:rPr>
                <w:sz w:val="15"/>
                <w:szCs w:val="15"/>
                <w:color w:val="auto"/>
              </w:rPr>
            </w:pPr>
          </w:p>
        </w:tc>
        <w:tc>
          <w:tcPr>
            <w:tcW w:w="780" w:type="dxa"/>
            <w:vAlign w:val="bottom"/>
          </w:tcPr>
          <w:p>
            <w:pPr>
              <w:jc w:val="center"/>
              <w:spacing w:after="0" w:line="183" w:lineRule="exact"/>
              <w:rPr>
                <w:sz w:val="20"/>
                <w:szCs w:val="20"/>
                <w:color w:val="auto"/>
              </w:rPr>
            </w:pPr>
            <w:r>
              <w:rPr>
                <w:rFonts w:ascii="Arial" w:cs="Arial" w:eastAsia="Arial" w:hAnsi="Arial"/>
                <w:sz w:val="16"/>
                <w:szCs w:val="16"/>
                <w:color w:val="auto"/>
                <w:w w:val="89"/>
              </w:rPr>
              <w:t>36</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600" w:type="dxa"/>
            <w:vAlign w:val="bottom"/>
            <w:tcBorders>
              <w:top w:val="single" w:sz="8" w:color="0563C1"/>
              <w:bottom w:val="single" w:sz="8" w:color="0563C1"/>
            </w:tcBorders>
          </w:tcPr>
          <w:p>
            <w:pPr>
              <w:spacing w:after="0" w:line="183" w:lineRule="exact"/>
              <w:rPr>
                <w:sz w:val="20"/>
                <w:szCs w:val="20"/>
                <w:color w:val="auto"/>
              </w:rPr>
            </w:pPr>
            <w:r>
              <w:rPr>
                <w:rFonts w:ascii="Arial" w:cs="Arial" w:eastAsia="Arial" w:hAnsi="Arial"/>
                <w:sz w:val="17"/>
                <w:szCs w:val="17"/>
                <w:color w:val="0563C1"/>
                <w:w w:val="71"/>
              </w:rPr>
              <w:t>Signatures</w:t>
            </w:r>
          </w:p>
        </w:tc>
        <w:tc>
          <w:tcPr>
            <w:tcW w:w="160" w:type="dxa"/>
            <w:vAlign w:val="bottom"/>
            <w:tcBorders>
              <w:bottom w:val="single" w:sz="8" w:color="0563C1"/>
            </w:tcBorders>
          </w:tcPr>
          <w:p>
            <w:pPr>
              <w:spacing w:after="0"/>
              <w:rPr>
                <w:sz w:val="15"/>
                <w:szCs w:val="15"/>
                <w:color w:val="auto"/>
              </w:rPr>
            </w:pPr>
          </w:p>
        </w:tc>
        <w:tc>
          <w:tcPr>
            <w:tcW w:w="8540" w:type="dxa"/>
            <w:vAlign w:val="bottom"/>
            <w:gridSpan w:val="19"/>
          </w:tcPr>
          <w:p>
            <w:pPr>
              <w:spacing w:after="0"/>
              <w:rPr>
                <w:sz w:val="15"/>
                <w:szCs w:val="15"/>
                <w:color w:val="auto"/>
              </w:rPr>
            </w:pPr>
          </w:p>
        </w:tc>
        <w:tc>
          <w:tcPr>
            <w:tcW w:w="780" w:type="dxa"/>
            <w:vAlign w:val="bottom"/>
          </w:tcPr>
          <w:p>
            <w:pPr>
              <w:jc w:val="center"/>
              <w:spacing w:after="0" w:line="183" w:lineRule="exact"/>
              <w:rPr>
                <w:sz w:val="20"/>
                <w:szCs w:val="20"/>
                <w:color w:val="auto"/>
              </w:rPr>
            </w:pPr>
            <w:r>
              <w:rPr>
                <w:rFonts w:ascii="Arial" w:cs="Arial" w:eastAsia="Arial" w:hAnsi="Arial"/>
                <w:sz w:val="16"/>
                <w:szCs w:val="16"/>
                <w:color w:val="auto"/>
                <w:w w:val="89"/>
              </w:rPr>
              <w:t>37</w:t>
            </w:r>
          </w:p>
        </w:tc>
        <w:tc>
          <w:tcPr>
            <w:tcW w:w="0" w:type="dxa"/>
            <w:vAlign w:val="bottom"/>
          </w:tcPr>
          <w:p>
            <w:pPr>
              <w:spacing w:after="0"/>
              <w:rPr>
                <w:sz w:val="1"/>
                <w:szCs w:val="1"/>
                <w:color w:val="auto"/>
              </w:rPr>
            </w:pPr>
          </w:p>
        </w:tc>
      </w:tr>
      <w:tr>
        <w:trPr>
          <w:trHeight w:val="655"/>
        </w:trPr>
        <w:tc>
          <w:tcPr>
            <w:tcW w:w="1160" w:type="dxa"/>
            <w:vAlign w:val="bottom"/>
          </w:tcPr>
          <w:p>
            <w:pPr>
              <w:spacing w:after="0"/>
              <w:rPr>
                <w:sz w:val="24"/>
                <w:szCs w:val="24"/>
                <w:color w:val="auto"/>
              </w:rPr>
            </w:pPr>
          </w:p>
        </w:tc>
        <w:tc>
          <w:tcPr>
            <w:tcW w:w="4640" w:type="dxa"/>
            <w:vAlign w:val="bottom"/>
            <w:gridSpan w:val="16"/>
          </w:tcPr>
          <w:p>
            <w:pPr>
              <w:ind w:left="442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1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Unless the context otherwise requires, references in this Quarterly Report on Form 10-Q to the “Company,” “Sight Sciences,” “we,” “us” and “our” refer to Sight Sciences, Inc.</w:t>
      </w:r>
    </w:p>
    <w:p>
      <w:pPr>
        <w:spacing w:after="0" w:line="63"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spacing w:after="0" w:line="77"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total addressable market, future revenue, expenses, capital requirements, and our needs for additional financing;</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and compete in new markets;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our customers’ and suppliers’ businesses and the general economy;</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scale our infrastructure;</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manage and grow our business by expanding our sales to existing customers or introducing our products to new customers;</w:t>
      </w:r>
    </w:p>
    <w:p>
      <w:pPr>
        <w:spacing w:after="0" w:line="115" w:lineRule="exact"/>
        <w:rPr>
          <w:rFonts w:ascii="Arial" w:cs="Arial" w:eastAsia="Arial" w:hAnsi="Arial"/>
          <w:sz w:val="17"/>
          <w:szCs w:val="17"/>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claims of infringement;</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effects of extensive government regulation;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sufficient reimbursement for our products;</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abilities to protect and scale our intellectual property portfolio;</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financing in future offerings;</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03" w:lineRule="exact"/>
        <w:rPr>
          <w:rFonts w:ascii="Arial" w:cs="Arial" w:eastAsia="Arial" w:hAnsi="Arial"/>
          <w:sz w:val="18"/>
          <w:szCs w:val="18"/>
          <w:color w:val="auto"/>
        </w:rPr>
      </w:pPr>
    </w:p>
    <w:p>
      <w:pPr>
        <w:ind w:left="380" w:right="80" w:hanging="372"/>
        <w:spacing w:after="0" w:line="261"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regarding the time during which we will be an emerging growth company under the Jumpstart Our Business Startups Act (the “JOBS Act”); and</w:t>
      </w:r>
    </w:p>
    <w:p>
      <w:pPr>
        <w:spacing w:after="0" w:line="76"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proper and effective internal controls.</w:t>
      </w:r>
    </w:p>
    <w:p>
      <w:pPr>
        <w:spacing w:after="0" w:line="21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Actual events or results may differ from those expressed in forward-looking statements. As such, you should not rely on forward-looking statements as predictions of future events. We have based the forward-looking statements contained in this Quarterly Report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in our Annual Report on Form 10-K for the year ended December 31, 2021 filed with the Securities and Exchange Commission (the "SEC") on March 24, 2022 (the "2021 Form 10-K") and elsewhere in this Quarterly Report.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The results, events and circumstances reflected in the forward-looking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 w:name="page4"/>
    <w:bookmarkEnd w:id="3"/>
    <w:p>
      <w:pPr>
        <w:ind w:right="280"/>
        <w:spacing w:after="0" w:line="277" w:lineRule="auto"/>
        <w:rPr>
          <w:sz w:val="20"/>
          <w:szCs w:val="20"/>
          <w:color w:val="auto"/>
        </w:rPr>
      </w:pPr>
      <w:r>
        <w:rPr>
          <w:rFonts w:ascii="Arial" w:cs="Arial" w:eastAsia="Arial" w:hAnsi="Arial"/>
          <w:sz w:val="18"/>
          <w:szCs w:val="18"/>
          <w:color w:val="auto"/>
        </w:rPr>
        <w:t>statements may not be achieved or occur, and actual results, events or circumstances could differ materially from those described in the forward-looking statements.</w:t>
      </w:r>
    </w:p>
    <w:p>
      <w:pPr>
        <w:spacing w:after="0" w:line="157"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The forward-looking statements in this Quarterly Report are based on information available to us as of the date of this Quarterly Report.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1"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You should read this Quarterly Report and the documents that we reference in this Quarterly Report and have filed as exhibits to this Quarterly Report with the understanding that our actual future results, performance and achievements may be materially different from what we expect. We qualify all of our forward-looking statements by these cautionary statements. The forward-looking statements made in this Quarterly Report relate only to events as of the date on which the statements are made. We undertake no obligation to update any forward-looking statements made in this Quarterly Report to reflect events or circumstances after the date of this Quarterly Report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SIGHT SCIENCES,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5"/>
                <w:szCs w:val="15"/>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December 31,</w:t>
            </w:r>
          </w:p>
        </w:tc>
      </w:tr>
      <w:tr>
        <w:trPr>
          <w:trHeight w:val="185"/>
        </w:trPr>
        <w:tc>
          <w:tcPr>
            <w:tcW w:w="7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9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220,097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260,687</w:t>
            </w: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10,474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8,709</w:t>
            </w:r>
          </w:p>
        </w:tc>
        <w:tc>
          <w:tcPr>
            <w:tcW w:w="100" w:type="dxa"/>
            <w:vAlign w:val="bottom"/>
          </w:tcPr>
          <w:p>
            <w:pPr>
              <w:spacing w:after="0"/>
              <w:rPr>
                <w:sz w:val="18"/>
                <w:szCs w:val="18"/>
                <w:color w:val="auto"/>
              </w:rPr>
            </w:pPr>
          </w:p>
        </w:tc>
      </w:tr>
      <w:tr>
        <w:trPr>
          <w:trHeight w:val="216"/>
        </w:trPr>
        <w:tc>
          <w:tcPr>
            <w:tcW w:w="7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Inventory, net</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w:t>
            </w: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4,164</w:t>
            </w:r>
          </w:p>
        </w:tc>
        <w:tc>
          <w:tcPr>
            <w:tcW w:w="100" w:type="dxa"/>
            <w:vAlign w:val="bottom"/>
          </w:tcPr>
          <w:p>
            <w:pPr>
              <w:spacing w:after="0"/>
              <w:rPr>
                <w:sz w:val="18"/>
                <w:szCs w:val="18"/>
                <w:color w:val="auto"/>
              </w:rPr>
            </w:pPr>
          </w:p>
        </w:tc>
      </w:tr>
      <w:tr>
        <w:trPr>
          <w:trHeight w:val="210"/>
        </w:trPr>
        <w:tc>
          <w:tcPr>
            <w:tcW w:w="7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237,546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277,035</w:t>
            </w: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18"/>
                <w:szCs w:val="18"/>
                <w:color w:val="auto"/>
              </w:rPr>
            </w:pPr>
          </w:p>
        </w:tc>
      </w:tr>
      <w:tr>
        <w:trPr>
          <w:trHeight w:val="216"/>
        </w:trPr>
        <w:tc>
          <w:tcPr>
            <w:tcW w:w="7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w:t>
            </w: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r>
      <w:tr>
        <w:trPr>
          <w:trHeight w:val="250"/>
        </w:trPr>
        <w:tc>
          <w:tcPr>
            <w:tcW w:w="79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240,749</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280,186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9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2,725</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3,351</w:t>
            </w:r>
          </w:p>
        </w:tc>
        <w:tc>
          <w:tcPr>
            <w:tcW w:w="100" w:type="dxa"/>
            <w:vAlign w:val="bottom"/>
          </w:tcPr>
          <w:p>
            <w:pPr>
              <w:spacing w:after="0"/>
              <w:rPr>
                <w:sz w:val="18"/>
                <w:szCs w:val="18"/>
                <w:color w:val="auto"/>
              </w:rPr>
            </w:pPr>
          </w:p>
        </w:tc>
      </w:tr>
      <w:tr>
        <w:trPr>
          <w:trHeight w:val="216"/>
        </w:trPr>
        <w:tc>
          <w:tcPr>
            <w:tcW w:w="7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compensation</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5,987</w:t>
            </w: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200"/>
              <w:spacing w:after="0"/>
              <w:rPr>
                <w:sz w:val="20"/>
                <w:szCs w:val="20"/>
                <w:color w:val="auto"/>
              </w:rPr>
            </w:pPr>
            <w:r>
              <w:rPr>
                <w:rFonts w:ascii="Arial" w:cs="Arial" w:eastAsia="Arial" w:hAnsi="Arial"/>
                <w:sz w:val="18"/>
                <w:szCs w:val="18"/>
                <w:color w:val="auto"/>
              </w:rPr>
              <w:t>Accrued and other current liabilities</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5,186</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4,166</w:t>
            </w:r>
          </w:p>
        </w:tc>
        <w:tc>
          <w:tcPr>
            <w:tcW w:w="100" w:type="dxa"/>
            <w:vAlign w:val="bottom"/>
          </w:tcPr>
          <w:p>
            <w:pPr>
              <w:spacing w:after="0"/>
              <w:rPr>
                <w:sz w:val="18"/>
                <w:szCs w:val="18"/>
                <w:color w:val="auto"/>
              </w:rPr>
            </w:pPr>
          </w:p>
        </w:tc>
      </w:tr>
      <w:tr>
        <w:trPr>
          <w:trHeight w:val="209"/>
        </w:trPr>
        <w:tc>
          <w:tcPr>
            <w:tcW w:w="7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13,504</w:t>
            </w: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32,984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32,656</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1,809</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98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48,990</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48,079</w:t>
            </w:r>
          </w:p>
        </w:tc>
        <w:tc>
          <w:tcPr>
            <w:tcW w:w="100" w:type="dxa"/>
            <w:vAlign w:val="bottom"/>
          </w:tcPr>
          <w:p>
            <w:pPr>
              <w:spacing w:after="0"/>
              <w:rPr>
                <w:sz w:val="18"/>
                <w:szCs w:val="18"/>
                <w:color w:val="auto"/>
              </w:rPr>
            </w:pPr>
          </w:p>
        </w:tc>
      </w:tr>
      <w:tr>
        <w:trPr>
          <w:trHeight w:val="210"/>
        </w:trPr>
        <w:tc>
          <w:tcPr>
            <w:tcW w:w="7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6)</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8"/>
                <w:szCs w:val="18"/>
                <w:color w:val="auto"/>
              </w:rPr>
              <w:t>Redeemable convertible preferred stock:</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798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w w:val="91"/>
              </w:rPr>
              <w:t>Convertible preferred stock par value of $0.001 per share; 10,000,000 shares authorized; no shares issued</w:t>
            </w: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7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and outstanding as of June 30, 2022 and December 31, 2021, respectively</w:t>
            </w:r>
          </w:p>
        </w:tc>
        <w:tc>
          <w:tcPr>
            <w:tcW w:w="3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798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w w:val="98"/>
              </w:rPr>
              <w:t>Preferred stock par value of $0.001 per share; 10,000,000 shares authorized; no shares issued and</w:t>
            </w: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7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outstanding as of June 30, 2022 and December 31, 2021, respectively</w:t>
            </w:r>
          </w:p>
        </w:tc>
        <w:tc>
          <w:tcPr>
            <w:tcW w:w="3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175"/>
        </w:trPr>
        <w:tc>
          <w:tcPr>
            <w:tcW w:w="7980" w:type="dxa"/>
            <w:vAlign w:val="bottom"/>
          </w:tcPr>
          <w:p>
            <w:pPr>
              <w:ind w:left="200"/>
              <w:spacing w:after="0" w:line="175" w:lineRule="exact"/>
              <w:rPr>
                <w:sz w:val="20"/>
                <w:szCs w:val="20"/>
                <w:color w:val="auto"/>
              </w:rPr>
            </w:pPr>
            <w:r>
              <w:rPr>
                <w:rFonts w:ascii="Arial" w:cs="Arial" w:eastAsia="Arial" w:hAnsi="Arial"/>
                <w:sz w:val="18"/>
                <w:szCs w:val="18"/>
                <w:color w:val="auto"/>
                <w:w w:val="95"/>
              </w:rPr>
              <w:t>Common stock par value of $0.001 per share; 200,000,000 shares authorized as of June 30, 2022 and</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980" w:type="dxa"/>
            <w:vAlign w:val="bottom"/>
          </w:tcPr>
          <w:p>
            <w:pPr>
              <w:ind w:left="200"/>
              <w:spacing w:after="0" w:line="189" w:lineRule="exact"/>
              <w:rPr>
                <w:sz w:val="20"/>
                <w:szCs w:val="20"/>
                <w:color w:val="auto"/>
              </w:rPr>
            </w:pPr>
            <w:r>
              <w:rPr>
                <w:rFonts w:ascii="Arial" w:cs="Arial" w:eastAsia="Arial" w:hAnsi="Arial"/>
                <w:sz w:val="18"/>
                <w:szCs w:val="18"/>
                <w:color w:val="auto"/>
                <w:w w:val="93"/>
              </w:rPr>
              <w:t>December 31, 2021, respectively; 47,819,706 and 47,504,704 shares issued and outstanding as of June</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7980" w:type="dxa"/>
            <w:vAlign w:val="bottom"/>
          </w:tcPr>
          <w:p>
            <w:pPr>
              <w:ind w:left="200"/>
              <w:spacing w:after="0"/>
              <w:rPr>
                <w:sz w:val="20"/>
                <w:szCs w:val="20"/>
                <w:color w:val="auto"/>
              </w:rPr>
            </w:pPr>
            <w:r>
              <w:rPr>
                <w:rFonts w:ascii="Arial" w:cs="Arial" w:eastAsia="Arial" w:hAnsi="Arial"/>
                <w:sz w:val="18"/>
                <w:szCs w:val="18"/>
                <w:color w:val="auto"/>
              </w:rPr>
              <w:t>30, 2022 and December 31, 2021, respectively</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r>
      <w:tr>
        <w:trPr>
          <w:trHeight w:val="216"/>
        </w:trPr>
        <w:tc>
          <w:tcPr>
            <w:tcW w:w="7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paid-in-capital</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391,818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385,060</w:t>
            </w: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(200,107 )</w:t>
            </w:r>
          </w:p>
        </w:tc>
        <w:tc>
          <w:tcPr>
            <w:tcW w:w="1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(153,001 )</w:t>
            </w:r>
          </w:p>
        </w:tc>
      </w:tr>
      <w:tr>
        <w:trPr>
          <w:trHeight w:val="210"/>
        </w:trPr>
        <w:tc>
          <w:tcPr>
            <w:tcW w:w="79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191,759</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232,107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980" w:type="dxa"/>
            <w:vAlign w:val="bottom"/>
          </w:tcPr>
          <w:p>
            <w:pPr>
              <w:ind w:left="380"/>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240,749</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280,186</w:t>
            </w:r>
          </w:p>
        </w:tc>
        <w:tc>
          <w:tcPr>
            <w:tcW w:w="10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-3179445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-3162300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-3179445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-2047875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ind w:left="4640"/>
        <w:spacing w:after="0"/>
        <w:rPr>
          <w:sz w:val="20"/>
          <w:szCs w:val="20"/>
          <w:color w:val="auto"/>
        </w:rPr>
      </w:pPr>
      <w:r>
        <w:rPr>
          <w:rFonts w:ascii="Arial" w:cs="Arial" w:eastAsia="Arial" w:hAnsi="Arial"/>
          <w:sz w:val="18"/>
          <w:szCs w:val="18"/>
          <w:b w:val="1"/>
          <w:bCs w:val="1"/>
          <w:color w:val="auto"/>
        </w:rPr>
        <w:t>SIGHT SCIENCES, INC.</w:t>
      </w:r>
    </w:p>
    <w:p>
      <w:pPr>
        <w:spacing w:after="0" w:line="2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Condensed Consolidated Statements of Operations and Comprehensive Loss (Unaudited)</w:t>
      </w: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40" w:type="dxa"/>
            <w:vAlign w:val="bottom"/>
            <w:gridSpan w:val="5"/>
          </w:tcPr>
          <w:p>
            <w:pPr>
              <w:jc w:val="right"/>
              <w:ind w:right="81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17,229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32,111</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5,768</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26,343</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11,573</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31,431</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17,760</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59,826</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37,357</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21,306</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71,399</w:t>
            </w:r>
          </w:p>
        </w:tc>
        <w:tc>
          <w:tcPr>
            <w:tcW w:w="2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39,296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8"/>
                <w:szCs w:val="18"/>
                <w:color w:val="auto"/>
              </w:rPr>
            </w:pP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(22,864 )</w:t>
            </w:r>
          </w:p>
        </w:tc>
        <w:tc>
          <w:tcPr>
            <w:tcW w:w="30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(11,076 )</w:t>
            </w:r>
          </w:p>
        </w:tc>
        <w:tc>
          <w:tcPr>
            <w:tcW w:w="220" w:type="dxa"/>
            <w:vAlign w:val="bottom"/>
          </w:tcPr>
          <w:p>
            <w:pPr>
              <w:spacing w:after="0"/>
              <w:rPr>
                <w:sz w:val="18"/>
                <w:szCs w:val="18"/>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(45,056 )</w:t>
            </w:r>
          </w:p>
        </w:tc>
        <w:tc>
          <w:tcPr>
            <w:tcW w:w="4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(22,732 )</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(1,065 )</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(1,082 )</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(2,112 )</w:t>
            </w:r>
          </w:p>
        </w:tc>
        <w:tc>
          <w:tcPr>
            <w:tcW w:w="4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(2,166 )</w:t>
            </w: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(5,435 )</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(4,883 )</w:t>
            </w: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2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(23,834</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(17,593</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(47,088</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(29,781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and comprehensive loss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(23,843</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(17,615</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(47,106</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(29,855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5700" w:type="dxa"/>
            <w:vAlign w:val="bottom"/>
          </w:tcPr>
          <w:p>
            <w:pPr>
              <w:ind w:left="20"/>
              <w:spacing w:after="0"/>
              <w:rPr>
                <w:sz w:val="20"/>
                <w:szCs w:val="20"/>
                <w:color w:val="auto"/>
              </w:rPr>
            </w:pPr>
            <w:r>
              <w:rPr>
                <w:rFonts w:ascii="Arial" w:cs="Arial" w:eastAsia="Arial" w:hAnsi="Arial"/>
                <w:sz w:val="18"/>
                <w:szCs w:val="18"/>
                <w:color w:val="auto"/>
                <w:w w:val="96"/>
              </w:rPr>
              <w:t>Net loss per share attributable to common stockholders, basic and 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(0.50 )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(1.83 )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(0.99 )</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(3.12 )</w:t>
            </w:r>
          </w:p>
        </w:tc>
        <w:tc>
          <w:tcPr>
            <w:tcW w:w="0" w:type="dxa"/>
            <w:vAlign w:val="bottom"/>
          </w:tcPr>
          <w:p>
            <w:pPr>
              <w:spacing w:after="0"/>
              <w:rPr>
                <w:sz w:val="1"/>
                <w:szCs w:val="1"/>
                <w:color w:val="auto"/>
              </w:rPr>
            </w:pPr>
          </w:p>
        </w:tc>
      </w:tr>
      <w:tr>
        <w:trPr>
          <w:trHeight w:val="168"/>
        </w:trPr>
        <w:tc>
          <w:tcPr>
            <w:tcW w:w="570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w w:val="91"/>
              </w:rPr>
              <w:t>Weighted-average shares used in computing net loss per share attributable to</w:t>
            </w:r>
          </w:p>
        </w:tc>
        <w:tc>
          <w:tcPr>
            <w:tcW w:w="22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47,701,451</w:t>
            </w:r>
          </w:p>
        </w:tc>
        <w:tc>
          <w:tcPr>
            <w:tcW w:w="26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9,610,408</w:t>
            </w:r>
          </w:p>
        </w:tc>
        <w:tc>
          <w:tcPr>
            <w:tcW w:w="2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47,635,840</w:t>
            </w:r>
          </w:p>
        </w:tc>
        <w:tc>
          <w:tcPr>
            <w:tcW w:w="240" w:type="dxa"/>
            <w:vAlign w:val="bottom"/>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w w:val="87"/>
              </w:rPr>
              <w:t>9,564,096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CFF0FC"/>
            </w:tcBorders>
            <w:shd w:val="clear" w:color="auto" w:fill="CFF0FC"/>
          </w:tcPr>
          <w:p>
            <w:pPr>
              <w:ind w:left="20"/>
              <w:spacing w:after="0" w:line="190" w:lineRule="exact"/>
              <w:rPr>
                <w:sz w:val="20"/>
                <w:szCs w:val="20"/>
                <w:color w:val="auto"/>
              </w:rPr>
            </w:pPr>
            <w:r>
              <w:rPr>
                <w:rFonts w:ascii="Arial" w:cs="Arial" w:eastAsia="Arial" w:hAnsi="Arial"/>
                <w:sz w:val="18"/>
                <w:szCs w:val="18"/>
                <w:color w:val="auto"/>
              </w:rPr>
              <w:t>common stockholders, basic and diluted</w:t>
            </w: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-1259205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-1259205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-1259205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-410845</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-410845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-410845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ind w:left="4640"/>
        <w:spacing w:after="0"/>
        <w:rPr>
          <w:sz w:val="20"/>
          <w:szCs w:val="20"/>
          <w:color w:val="auto"/>
        </w:rPr>
      </w:pPr>
      <w:r>
        <w:rPr>
          <w:rFonts w:ascii="Arial" w:cs="Arial" w:eastAsia="Arial" w:hAnsi="Arial"/>
          <w:sz w:val="18"/>
          <w:szCs w:val="18"/>
          <w:b w:val="1"/>
          <w:bCs w:val="1"/>
          <w:color w:val="auto"/>
        </w:rPr>
        <w:t>SIGHT SCIENCES, INC.</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7"/>
          <w:szCs w:val="17"/>
          <w:b w:val="1"/>
          <w:bCs w:val="1"/>
          <w:color w:val="auto"/>
        </w:rPr>
        <w:t>Condensed Consolidated Statements of Redeemable Convertible Preferred Stock and Stockholders’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92"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Three Months Ended June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340" w:type="dxa"/>
            <w:vAlign w:val="bottom"/>
          </w:tcPr>
          <w:p>
            <w:pPr>
              <w:spacing w:after="0"/>
              <w:rPr>
                <w:sz w:val="12"/>
                <w:szCs w:val="12"/>
                <w:color w:val="auto"/>
              </w:rPr>
            </w:pPr>
          </w:p>
        </w:tc>
        <w:tc>
          <w:tcPr>
            <w:tcW w:w="2040" w:type="dxa"/>
            <w:vAlign w:val="bottom"/>
            <w:tcBorders>
              <w:top w:val="single" w:sz="8" w:color="auto"/>
            </w:tcBorders>
            <w:gridSpan w:val="3"/>
          </w:tcPr>
          <w:p>
            <w:pPr>
              <w:ind w:left="360"/>
              <w:spacing w:after="0" w:line="142" w:lineRule="exact"/>
              <w:rPr>
                <w:sz w:val="20"/>
                <w:szCs w:val="20"/>
                <w:color w:val="auto"/>
              </w:rPr>
            </w:pPr>
            <w:r>
              <w:rPr>
                <w:rFonts w:ascii="Arial" w:cs="Arial" w:eastAsia="Arial" w:hAnsi="Arial"/>
                <w:sz w:val="14"/>
                <w:szCs w:val="14"/>
                <w:b w:val="1"/>
                <w:bCs w:val="1"/>
                <w:color w:val="auto"/>
              </w:rPr>
              <w:t>Redeemable Convertible</w:t>
            </w: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4"/>
            <w:vMerge w:val="restart"/>
          </w:tcPr>
          <w:p>
            <w:pPr>
              <w:jc w:val="right"/>
              <w:ind w:right="473"/>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Additional</w:t>
            </w: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center"/>
              <w:ind w:right="240"/>
              <w:spacing w:after="0" w:line="142" w:lineRule="exact"/>
              <w:rPr>
                <w:sz w:val="20"/>
                <w:szCs w:val="20"/>
                <w:color w:val="auto"/>
              </w:rPr>
            </w:pPr>
            <w:r>
              <w:rPr>
                <w:rFonts w:ascii="Arial" w:cs="Arial" w:eastAsia="Arial" w:hAnsi="Arial"/>
                <w:sz w:val="14"/>
                <w:szCs w:val="14"/>
                <w:b w:val="1"/>
                <w:bCs w:val="1"/>
                <w:color w:val="auto"/>
                <w:w w:val="90"/>
              </w:rPr>
              <w:t>Accumulate</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135"/>
              <w:spacing w:after="0" w:line="142"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340" w:type="dxa"/>
            <w:vAlign w:val="bottom"/>
          </w:tcPr>
          <w:p>
            <w:pPr>
              <w:spacing w:after="0"/>
              <w:rPr>
                <w:sz w:val="15"/>
                <w:szCs w:val="15"/>
                <w:color w:val="auto"/>
              </w:rPr>
            </w:pPr>
          </w:p>
        </w:tc>
        <w:tc>
          <w:tcPr>
            <w:tcW w:w="204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Preferred Stock</w:t>
            </w:r>
          </w:p>
        </w:tc>
        <w:tc>
          <w:tcPr>
            <w:tcW w:w="1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tcBorders>
              <w:bottom w:val="single" w:sz="8" w:color="auto"/>
            </w:tcBorders>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8"/>
              </w:rPr>
              <w:t>Paid-In</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w:t>
            </w: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1080" w:type="dxa"/>
            <w:vAlign w:val="bottom"/>
          </w:tcPr>
          <w:p>
            <w:pPr>
              <w:ind w:left="34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217"/>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73"/>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Deficit</w:t>
            </w: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8"/>
        </w:trPr>
        <w:tc>
          <w:tcPr>
            <w:tcW w:w="334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b w:val="1"/>
                <w:bCs w:val="1"/>
                <w:color w:val="auto"/>
              </w:rPr>
              <w:t>Balance at March 31, 2022</w:t>
            </w:r>
          </w:p>
        </w:tc>
        <w:tc>
          <w:tcPr>
            <w:tcW w:w="108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jc w:val="right"/>
              <w:spacing w:after="0" w:line="168" w:lineRule="exact"/>
              <w:rPr>
                <w:sz w:val="20"/>
                <w:szCs w:val="20"/>
                <w:color w:val="auto"/>
              </w:rPr>
            </w:pPr>
            <w:r>
              <w:rPr>
                <w:rFonts w:ascii="Arial" w:cs="Arial" w:eastAsia="Arial" w:hAnsi="Arial"/>
                <w:sz w:val="18"/>
                <w:szCs w:val="18"/>
                <w:color w:val="auto"/>
                <w:w w:val="94"/>
              </w:rPr>
              <w:t>(176,26</w:t>
            </w:r>
          </w:p>
        </w:tc>
        <w:tc>
          <w:tcPr>
            <w:tcW w:w="2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spacing w:after="0"/>
              <w:rPr>
                <w:sz w:val="20"/>
                <w:szCs w:val="20"/>
                <w:color w:val="auto"/>
              </w:rPr>
            </w:pPr>
          </w:p>
        </w:tc>
        <w:tc>
          <w:tcPr>
            <w:tcW w:w="1080" w:type="dxa"/>
            <w:vAlign w:val="bottom"/>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FF0FC"/>
          </w:tcPr>
          <w:p>
            <w:pPr>
              <w:jc w:val="right"/>
              <w:ind w:right="528"/>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w w:val="88"/>
              </w:rPr>
              <w:t>—</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47,590,348</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$ 388,127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4 )</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211,911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340" w:type="dxa"/>
            <w:vAlign w:val="bottom"/>
          </w:tcPr>
          <w:p>
            <w:pPr>
              <w:ind w:left="20"/>
              <w:spacing w:after="0" w:line="175" w:lineRule="exact"/>
              <w:rPr>
                <w:sz w:val="20"/>
                <w:szCs w:val="20"/>
                <w:color w:val="auto"/>
              </w:rPr>
            </w:pPr>
            <w:r>
              <w:rPr>
                <w:rFonts w:ascii="Arial" w:cs="Arial" w:eastAsia="Arial" w:hAnsi="Arial"/>
                <w:sz w:val="18"/>
                <w:szCs w:val="18"/>
                <w:color w:val="auto"/>
                <w:w w:val="94"/>
              </w:rPr>
              <w:t>Issuance of common stock upon exercise of</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w w:val="88"/>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229,358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080" w:type="dxa"/>
            <w:vAlign w:val="bottom"/>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3,532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(23,843 )</w:t>
            </w: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(23,843 )</w:t>
            </w:r>
          </w:p>
        </w:tc>
        <w:tc>
          <w:tcPr>
            <w:tcW w:w="0" w:type="dxa"/>
            <w:vAlign w:val="bottom"/>
          </w:tcPr>
          <w:p>
            <w:pPr>
              <w:spacing w:after="0"/>
              <w:rPr>
                <w:sz w:val="1"/>
                <w:szCs w:val="1"/>
                <w:color w:val="auto"/>
              </w:rPr>
            </w:pPr>
          </w:p>
        </w:tc>
      </w:tr>
      <w:tr>
        <w:trPr>
          <w:trHeight w:val="168"/>
        </w:trPr>
        <w:tc>
          <w:tcPr>
            <w:tcW w:w="334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b w:val="1"/>
                <w:bCs w:val="1"/>
                <w:color w:val="auto"/>
              </w:rPr>
              <w:t>Balance at June 30, 2022</w:t>
            </w:r>
          </w:p>
        </w:tc>
        <w:tc>
          <w:tcPr>
            <w:tcW w:w="108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jc w:val="right"/>
              <w:spacing w:after="0" w:line="168" w:lineRule="exact"/>
              <w:rPr>
                <w:sz w:val="20"/>
                <w:szCs w:val="20"/>
                <w:color w:val="auto"/>
              </w:rPr>
            </w:pPr>
            <w:r>
              <w:rPr>
                <w:rFonts w:ascii="Arial" w:cs="Arial" w:eastAsia="Arial" w:hAnsi="Arial"/>
                <w:sz w:val="18"/>
                <w:szCs w:val="18"/>
                <w:color w:val="auto"/>
                <w:w w:val="94"/>
              </w:rPr>
              <w:t>(200,10</w:t>
            </w:r>
          </w:p>
        </w:tc>
        <w:tc>
          <w:tcPr>
            <w:tcW w:w="2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340" w:type="dxa"/>
            <w:vAlign w:val="bottom"/>
            <w:shd w:val="clear" w:color="auto" w:fill="CFF0FC"/>
          </w:tcPr>
          <w:p>
            <w:pPr>
              <w:spacing w:after="0"/>
              <w:rPr>
                <w:sz w:val="21"/>
                <w:szCs w:val="21"/>
                <w:color w:val="auto"/>
              </w:rPr>
            </w:pPr>
          </w:p>
        </w:tc>
        <w:tc>
          <w:tcPr>
            <w:tcW w:w="1080" w:type="dxa"/>
            <w:vAlign w:val="bottom"/>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47,819,706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391,818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7 )</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191,759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3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281"/>
              <w:spacing w:after="0"/>
              <w:rPr>
                <w:sz w:val="20"/>
                <w:szCs w:val="20"/>
                <w:color w:val="auto"/>
              </w:rPr>
            </w:pPr>
            <w:r>
              <w:rPr>
                <w:rFonts w:ascii="Arial" w:cs="Arial" w:eastAsia="Arial" w:hAnsi="Arial"/>
                <w:sz w:val="18"/>
                <w:szCs w:val="18"/>
                <w:b w:val="1"/>
                <w:bCs w:val="1"/>
                <w:color w:val="auto"/>
                <w:w w:val="95"/>
              </w:rPr>
              <w:t>Six Months Ended June 30, 2022</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204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auto"/>
              </w:rPr>
              <w:t>Redeemable Convertible</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60" w:type="dxa"/>
            <w:vAlign w:val="bottom"/>
            <w:gridSpan w:val="4"/>
            <w:vMerge w:val="restart"/>
          </w:tcPr>
          <w:p>
            <w:pPr>
              <w:jc w:val="right"/>
              <w:ind w:right="473"/>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2" w:lineRule="exact"/>
              <w:rPr>
                <w:sz w:val="20"/>
                <w:szCs w:val="20"/>
                <w:color w:val="auto"/>
              </w:rPr>
            </w:pPr>
            <w:r>
              <w:rPr>
                <w:rFonts w:ascii="Arial" w:cs="Arial" w:eastAsia="Arial" w:hAnsi="Arial"/>
                <w:sz w:val="14"/>
                <w:szCs w:val="14"/>
                <w:b w:val="1"/>
                <w:bCs w:val="1"/>
                <w:color w:val="auto"/>
                <w:w w:val="90"/>
              </w:rPr>
              <w:t>Accumulate</w:t>
            </w:r>
          </w:p>
        </w:tc>
        <w:tc>
          <w:tcPr>
            <w:tcW w:w="200" w:type="dxa"/>
            <w:vAlign w:val="bottom"/>
          </w:tcPr>
          <w:p>
            <w:pPr>
              <w:spacing w:after="0"/>
              <w:rPr>
                <w:sz w:val="12"/>
                <w:szCs w:val="12"/>
                <w:color w:val="auto"/>
              </w:rPr>
            </w:pPr>
          </w:p>
        </w:tc>
        <w:tc>
          <w:tcPr>
            <w:tcW w:w="94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6"/>
        </w:trPr>
        <w:tc>
          <w:tcPr>
            <w:tcW w:w="3340" w:type="dxa"/>
            <w:vAlign w:val="bottom"/>
          </w:tcPr>
          <w:p>
            <w:pPr>
              <w:spacing w:after="0"/>
              <w:rPr>
                <w:sz w:val="15"/>
                <w:szCs w:val="15"/>
                <w:color w:val="auto"/>
              </w:rPr>
            </w:pPr>
          </w:p>
        </w:tc>
        <w:tc>
          <w:tcPr>
            <w:tcW w:w="204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Preferred Stock</w:t>
            </w:r>
          </w:p>
        </w:tc>
        <w:tc>
          <w:tcPr>
            <w:tcW w:w="1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tcBorders>
              <w:bottom w:val="single" w:sz="8" w:color="auto"/>
            </w:tcBorders>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8"/>
              </w:rPr>
              <w:t>Paid-In</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w:t>
            </w: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1080" w:type="dxa"/>
            <w:vAlign w:val="bottom"/>
          </w:tcPr>
          <w:p>
            <w:pPr>
              <w:ind w:left="34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217"/>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73"/>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Deficit</w:t>
            </w: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8"/>
        </w:trPr>
        <w:tc>
          <w:tcPr>
            <w:tcW w:w="334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b w:val="1"/>
                <w:bCs w:val="1"/>
                <w:color w:val="auto"/>
              </w:rPr>
              <w:t>Balance at December 31, 2021</w:t>
            </w:r>
          </w:p>
        </w:tc>
        <w:tc>
          <w:tcPr>
            <w:tcW w:w="108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jc w:val="right"/>
              <w:spacing w:after="0" w:line="168" w:lineRule="exact"/>
              <w:rPr>
                <w:sz w:val="20"/>
                <w:szCs w:val="20"/>
                <w:color w:val="auto"/>
              </w:rPr>
            </w:pPr>
            <w:r>
              <w:rPr>
                <w:rFonts w:ascii="Arial" w:cs="Arial" w:eastAsia="Arial" w:hAnsi="Arial"/>
                <w:sz w:val="18"/>
                <w:szCs w:val="18"/>
                <w:color w:val="auto"/>
                <w:w w:val="94"/>
              </w:rPr>
              <w:t>(153,00</w:t>
            </w:r>
          </w:p>
        </w:tc>
        <w:tc>
          <w:tcPr>
            <w:tcW w:w="2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spacing w:after="0"/>
              <w:rPr>
                <w:sz w:val="20"/>
                <w:szCs w:val="20"/>
                <w:color w:val="auto"/>
              </w:rPr>
            </w:pPr>
          </w:p>
        </w:tc>
        <w:tc>
          <w:tcPr>
            <w:tcW w:w="1080" w:type="dxa"/>
            <w:vAlign w:val="bottom"/>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FF0FC"/>
          </w:tcPr>
          <w:p>
            <w:pPr>
              <w:jc w:val="right"/>
              <w:ind w:right="528"/>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w w:val="88"/>
              </w:rPr>
              <w:t>—</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47,504,704</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$ 385,060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1 )</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232,107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340" w:type="dxa"/>
            <w:vAlign w:val="bottom"/>
          </w:tcPr>
          <w:p>
            <w:pPr>
              <w:ind w:left="20"/>
              <w:spacing w:after="0" w:line="175" w:lineRule="exact"/>
              <w:rPr>
                <w:sz w:val="20"/>
                <w:szCs w:val="20"/>
                <w:color w:val="auto"/>
              </w:rPr>
            </w:pPr>
            <w:r>
              <w:rPr>
                <w:rFonts w:ascii="Arial" w:cs="Arial" w:eastAsia="Arial" w:hAnsi="Arial"/>
                <w:sz w:val="18"/>
                <w:szCs w:val="18"/>
                <w:color w:val="auto"/>
                <w:w w:val="94"/>
              </w:rPr>
              <w:t>Issuance of common stock upon exercise of</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w w:val="88"/>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315,002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080" w:type="dxa"/>
            <w:vAlign w:val="bottom"/>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6,506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(47,106 )</w:t>
            </w: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(47,106 )</w:t>
            </w:r>
          </w:p>
        </w:tc>
        <w:tc>
          <w:tcPr>
            <w:tcW w:w="0" w:type="dxa"/>
            <w:vAlign w:val="bottom"/>
          </w:tcPr>
          <w:p>
            <w:pPr>
              <w:spacing w:after="0"/>
              <w:rPr>
                <w:sz w:val="1"/>
                <w:szCs w:val="1"/>
                <w:color w:val="auto"/>
              </w:rPr>
            </w:pPr>
          </w:p>
        </w:tc>
      </w:tr>
      <w:tr>
        <w:trPr>
          <w:trHeight w:val="168"/>
        </w:trPr>
        <w:tc>
          <w:tcPr>
            <w:tcW w:w="334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b w:val="1"/>
                <w:bCs w:val="1"/>
                <w:color w:val="auto"/>
              </w:rPr>
              <w:t>Balance at June 30, 2022</w:t>
            </w:r>
          </w:p>
        </w:tc>
        <w:tc>
          <w:tcPr>
            <w:tcW w:w="108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jc w:val="right"/>
              <w:spacing w:after="0" w:line="168" w:lineRule="exact"/>
              <w:rPr>
                <w:sz w:val="20"/>
                <w:szCs w:val="20"/>
                <w:color w:val="auto"/>
              </w:rPr>
            </w:pPr>
            <w:r>
              <w:rPr>
                <w:rFonts w:ascii="Arial" w:cs="Arial" w:eastAsia="Arial" w:hAnsi="Arial"/>
                <w:sz w:val="18"/>
                <w:szCs w:val="18"/>
                <w:color w:val="auto"/>
                <w:w w:val="94"/>
              </w:rPr>
              <w:t>(200,10</w:t>
            </w:r>
          </w:p>
        </w:tc>
        <w:tc>
          <w:tcPr>
            <w:tcW w:w="2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340" w:type="dxa"/>
            <w:vAlign w:val="bottom"/>
            <w:shd w:val="clear" w:color="auto" w:fill="CFF0FC"/>
          </w:tcPr>
          <w:p>
            <w:pPr>
              <w:spacing w:after="0"/>
              <w:rPr>
                <w:sz w:val="21"/>
                <w:szCs w:val="21"/>
                <w:color w:val="auto"/>
              </w:rPr>
            </w:pPr>
          </w:p>
        </w:tc>
        <w:tc>
          <w:tcPr>
            <w:tcW w:w="1080" w:type="dxa"/>
            <w:vAlign w:val="bottom"/>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47,819,706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391,818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7 )</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191,759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-1842770</wp:posOffset>
            </wp:positionV>
            <wp:extent cx="768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-1824990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-1842770</wp:posOffset>
            </wp:positionV>
            <wp:extent cx="77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-1824990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-1842770</wp:posOffset>
            </wp:positionV>
            <wp:extent cx="77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-1824990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-1842770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-1824990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-1842770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-1824990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-1842770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-1824990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-1842770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-24765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-7620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-24765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-24765</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ind w:left="4640"/>
        <w:spacing w:after="0"/>
        <w:rPr>
          <w:sz w:val="20"/>
          <w:szCs w:val="20"/>
          <w:color w:val="auto"/>
        </w:rPr>
      </w:pPr>
      <w:r>
        <w:rPr>
          <w:rFonts w:ascii="Arial" w:cs="Arial" w:eastAsia="Arial" w:hAnsi="Arial"/>
          <w:sz w:val="18"/>
          <w:szCs w:val="18"/>
          <w:b w:val="1"/>
          <w:bCs w:val="1"/>
          <w:color w:val="auto"/>
        </w:rPr>
        <w:t>SIGHT SCIENCES, INC.</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Condensed Consolidated Statements of Redeemable Convertible Preferred Stock and Stockholders’ Equity (Deficit)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92"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Three Months Ended June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340" w:type="dxa"/>
            <w:vAlign w:val="bottom"/>
          </w:tcPr>
          <w:p>
            <w:pPr>
              <w:spacing w:after="0"/>
              <w:rPr>
                <w:sz w:val="12"/>
                <w:szCs w:val="12"/>
                <w:color w:val="auto"/>
              </w:rPr>
            </w:pPr>
          </w:p>
        </w:tc>
        <w:tc>
          <w:tcPr>
            <w:tcW w:w="220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3"/>
              </w:rPr>
              <w:t>Redeemable Convertible</w:t>
            </w:r>
          </w:p>
        </w:tc>
        <w:tc>
          <w:tcPr>
            <w:tcW w:w="26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4"/>
            <w:vMerge w:val="restart"/>
          </w:tcPr>
          <w:p>
            <w:pPr>
              <w:jc w:val="right"/>
              <w:ind w:right="473"/>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center"/>
              <w:ind w:right="130"/>
              <w:spacing w:after="0" w:line="142" w:lineRule="exact"/>
              <w:rPr>
                <w:sz w:val="20"/>
                <w:szCs w:val="20"/>
                <w:color w:val="auto"/>
              </w:rPr>
            </w:pPr>
            <w:r>
              <w:rPr>
                <w:rFonts w:ascii="Arial" w:cs="Arial" w:eastAsia="Arial" w:hAnsi="Arial"/>
                <w:sz w:val="14"/>
                <w:szCs w:val="14"/>
                <w:b w:val="1"/>
                <w:bCs w:val="1"/>
                <w:color w:val="auto"/>
                <w:w w:val="93"/>
              </w:rPr>
              <w:t>Accumulate</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135"/>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340" w:type="dxa"/>
            <w:vAlign w:val="bottom"/>
          </w:tcPr>
          <w:p>
            <w:pPr>
              <w:spacing w:after="0"/>
              <w:rPr>
                <w:sz w:val="15"/>
                <w:szCs w:val="15"/>
                <w:color w:val="auto"/>
              </w:rPr>
            </w:pPr>
          </w:p>
        </w:tc>
        <w:tc>
          <w:tcPr>
            <w:tcW w:w="2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Preferred Stock</w:t>
            </w:r>
          </w:p>
        </w:tc>
        <w:tc>
          <w:tcPr>
            <w:tcW w:w="260" w:type="dxa"/>
            <w:vAlign w:val="bottom"/>
          </w:tcPr>
          <w:p>
            <w:pPr>
              <w:spacing w:after="0"/>
              <w:rPr>
                <w:sz w:val="15"/>
                <w:szCs w:val="15"/>
                <w:color w:val="auto"/>
              </w:rPr>
            </w:pPr>
          </w:p>
        </w:tc>
        <w:tc>
          <w:tcPr>
            <w:tcW w:w="2060" w:type="dxa"/>
            <w:vAlign w:val="bottom"/>
            <w:tcBorders>
              <w:bottom w:val="single" w:sz="8" w:color="auto"/>
            </w:tcBorders>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ind w:right="35"/>
              <w:spacing w:after="0"/>
              <w:rPr>
                <w:sz w:val="20"/>
                <w:szCs w:val="20"/>
                <w:color w:val="auto"/>
              </w:rPr>
            </w:pPr>
            <w:r>
              <w:rPr>
                <w:rFonts w:ascii="Arial" w:cs="Arial" w:eastAsia="Arial" w:hAnsi="Arial"/>
                <w:sz w:val="14"/>
                <w:szCs w:val="14"/>
                <w:b w:val="1"/>
                <w:bCs w:val="1"/>
                <w:color w:val="auto"/>
                <w:w w:val="98"/>
              </w:rPr>
              <w:t>Paid-In</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2"/>
              </w:rPr>
              <w:t>d</w:t>
            </w:r>
          </w:p>
        </w:tc>
        <w:tc>
          <w:tcPr>
            <w:tcW w:w="1140" w:type="dxa"/>
            <w:vAlign w:val="bottom"/>
            <w:gridSpan w:val="3"/>
          </w:tcPr>
          <w:p>
            <w:pPr>
              <w:jc w:val="center"/>
              <w:ind w:right="21"/>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1060" w:type="dxa"/>
            <w:vAlign w:val="bottom"/>
          </w:tcPr>
          <w:p>
            <w:pPr>
              <w:jc w:val="right"/>
              <w:ind w:right="237"/>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13"/>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4"/>
                <w:szCs w:val="14"/>
                <w:color w:val="auto"/>
              </w:rPr>
            </w:pPr>
          </w:p>
        </w:tc>
        <w:tc>
          <w:tcPr>
            <w:tcW w:w="1000" w:type="dxa"/>
            <w:vAlign w:val="bottom"/>
          </w:tcPr>
          <w:p>
            <w:pPr>
              <w:jc w:val="right"/>
              <w:ind w:right="216"/>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5"/>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8"/>
              </w:rPr>
              <w:t>Deficit</w:t>
            </w:r>
          </w:p>
        </w:tc>
        <w:tc>
          <w:tcPr>
            <w:tcW w:w="220" w:type="dxa"/>
            <w:vAlign w:val="bottom"/>
          </w:tcPr>
          <w:p>
            <w:pPr>
              <w:spacing w:after="0"/>
              <w:rPr>
                <w:sz w:val="14"/>
                <w:szCs w:val="14"/>
                <w:color w:val="auto"/>
              </w:rPr>
            </w:pPr>
          </w:p>
        </w:tc>
        <w:tc>
          <w:tcPr>
            <w:tcW w:w="920" w:type="dxa"/>
            <w:vAlign w:val="bottom"/>
            <w:gridSpan w:val="2"/>
          </w:tcPr>
          <w:p>
            <w:pPr>
              <w:jc w:val="center"/>
              <w:ind w:right="241"/>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68"/>
        </w:trPr>
        <w:tc>
          <w:tcPr>
            <w:tcW w:w="334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b w:val="1"/>
                <w:bCs w:val="1"/>
                <w:color w:val="auto"/>
              </w:rPr>
              <w:t>Balance at March 31, 2021</w:t>
            </w:r>
          </w:p>
        </w:tc>
        <w:tc>
          <w:tcPr>
            <w:tcW w:w="106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jc w:val="right"/>
              <w:spacing w:after="0" w:line="168" w:lineRule="exact"/>
              <w:rPr>
                <w:sz w:val="20"/>
                <w:szCs w:val="20"/>
                <w:color w:val="auto"/>
              </w:rPr>
            </w:pPr>
            <w:r>
              <w:rPr>
                <w:rFonts w:ascii="Arial" w:cs="Arial" w:eastAsia="Arial" w:hAnsi="Arial"/>
                <w:sz w:val="18"/>
                <w:szCs w:val="18"/>
                <w:color w:val="auto"/>
                <w:w w:val="98"/>
              </w:rPr>
              <w:t>(102,28</w:t>
            </w:r>
          </w:p>
        </w:tc>
        <w:tc>
          <w:tcPr>
            <w:tcW w:w="2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12,767,202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117,331</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9,526,044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1 )</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(100,801 )</w:t>
            </w:r>
          </w:p>
        </w:tc>
        <w:tc>
          <w:tcPr>
            <w:tcW w:w="0" w:type="dxa"/>
            <w:vAlign w:val="bottom"/>
          </w:tcPr>
          <w:p>
            <w:pPr>
              <w:spacing w:after="0"/>
              <w:rPr>
                <w:sz w:val="1"/>
                <w:szCs w:val="1"/>
                <w:color w:val="auto"/>
              </w:rPr>
            </w:pPr>
          </w:p>
        </w:tc>
      </w:tr>
      <w:tr>
        <w:trPr>
          <w:trHeight w:val="175"/>
        </w:trPr>
        <w:tc>
          <w:tcPr>
            <w:tcW w:w="3340" w:type="dxa"/>
            <w:vAlign w:val="bottom"/>
          </w:tcPr>
          <w:p>
            <w:pPr>
              <w:ind w:left="20"/>
              <w:spacing w:after="0" w:line="175" w:lineRule="exact"/>
              <w:rPr>
                <w:sz w:val="20"/>
                <w:szCs w:val="20"/>
                <w:color w:val="auto"/>
              </w:rPr>
            </w:pPr>
            <w:r>
              <w:rPr>
                <w:rFonts w:ascii="Arial" w:cs="Arial" w:eastAsia="Arial" w:hAnsi="Arial"/>
                <w:sz w:val="18"/>
                <w:szCs w:val="18"/>
                <w:color w:val="auto"/>
                <w:w w:val="94"/>
              </w:rPr>
              <w:t>Issuance of common stock upon exercise of</w:t>
            </w: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205,988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w w:val="97"/>
              </w:rPr>
              <w:t>(17,615 )</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(17,615 )</w:t>
            </w:r>
          </w:p>
        </w:tc>
        <w:tc>
          <w:tcPr>
            <w:tcW w:w="0" w:type="dxa"/>
            <w:vAlign w:val="bottom"/>
          </w:tcPr>
          <w:p>
            <w:pPr>
              <w:spacing w:after="0"/>
              <w:rPr>
                <w:sz w:val="1"/>
                <w:szCs w:val="1"/>
                <w:color w:val="auto"/>
              </w:rPr>
            </w:pPr>
          </w:p>
        </w:tc>
      </w:tr>
      <w:tr>
        <w:trPr>
          <w:trHeight w:val="168"/>
        </w:trPr>
        <w:tc>
          <w:tcPr>
            <w:tcW w:w="334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b w:val="1"/>
                <w:bCs w:val="1"/>
                <w:color w:val="auto"/>
              </w:rPr>
              <w:t>Balance at June 30, 2021</w:t>
            </w:r>
          </w:p>
        </w:tc>
        <w:tc>
          <w:tcPr>
            <w:tcW w:w="106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jc w:val="right"/>
              <w:spacing w:after="0" w:line="168" w:lineRule="exact"/>
              <w:rPr>
                <w:sz w:val="20"/>
                <w:szCs w:val="20"/>
                <w:color w:val="auto"/>
              </w:rPr>
            </w:pPr>
            <w:r>
              <w:rPr>
                <w:rFonts w:ascii="Arial" w:cs="Arial" w:eastAsia="Arial" w:hAnsi="Arial"/>
                <w:sz w:val="18"/>
                <w:szCs w:val="18"/>
                <w:color w:val="auto"/>
                <w:w w:val="98"/>
              </w:rPr>
              <w:t>(119,89</w:t>
            </w:r>
          </w:p>
        </w:tc>
        <w:tc>
          <w:tcPr>
            <w:tcW w:w="2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12,767,202</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117,331</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9,732,032</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2,598</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6 )</w:t>
            </w: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(117,289 )</w:t>
            </w:r>
          </w:p>
        </w:tc>
        <w:tc>
          <w:tcPr>
            <w:tcW w:w="0" w:type="dxa"/>
            <w:vAlign w:val="bottom"/>
          </w:tcPr>
          <w:p>
            <w:pPr>
              <w:spacing w:after="0"/>
              <w:rPr>
                <w:sz w:val="1"/>
                <w:szCs w:val="1"/>
                <w:color w:val="auto"/>
              </w:rPr>
            </w:pPr>
          </w:p>
        </w:tc>
      </w:tr>
      <w:tr>
        <w:trPr>
          <w:trHeight w:val="20"/>
        </w:trPr>
        <w:tc>
          <w:tcPr>
            <w:tcW w:w="33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3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7"/>
          </w:tcPr>
          <w:p>
            <w:pPr>
              <w:jc w:val="right"/>
              <w:ind w:right="295"/>
              <w:spacing w:after="0"/>
              <w:rPr>
                <w:sz w:val="20"/>
                <w:szCs w:val="20"/>
                <w:color w:val="auto"/>
              </w:rPr>
            </w:pPr>
            <w:r>
              <w:rPr>
                <w:rFonts w:ascii="Arial" w:cs="Arial" w:eastAsia="Arial" w:hAnsi="Arial"/>
                <w:sz w:val="18"/>
                <w:szCs w:val="18"/>
                <w:b w:val="1"/>
                <w:bCs w:val="1"/>
                <w:color w:val="auto"/>
                <w:w w:val="96"/>
              </w:rPr>
              <w:t>Six Months Ended June 30, 2021</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22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3"/>
              </w:rPr>
              <w:t>Redeemable Convertible</w:t>
            </w:r>
          </w:p>
        </w:tc>
        <w:tc>
          <w:tcPr>
            <w:tcW w:w="260" w:type="dxa"/>
            <w:vAlign w:val="bottom"/>
          </w:tcPr>
          <w:p>
            <w:pPr>
              <w:spacing w:after="0"/>
              <w:rPr>
                <w:sz w:val="12"/>
                <w:szCs w:val="12"/>
                <w:color w:val="auto"/>
              </w:rPr>
            </w:pPr>
          </w:p>
        </w:tc>
        <w:tc>
          <w:tcPr>
            <w:tcW w:w="2060" w:type="dxa"/>
            <w:vAlign w:val="bottom"/>
            <w:gridSpan w:val="4"/>
            <w:vMerge w:val="restart"/>
          </w:tcPr>
          <w:p>
            <w:pPr>
              <w:jc w:val="right"/>
              <w:ind w:right="473"/>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7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2"/>
                <w:szCs w:val="12"/>
                <w:color w:val="auto"/>
              </w:rPr>
            </w:pPr>
          </w:p>
        </w:tc>
        <w:tc>
          <w:tcPr>
            <w:tcW w:w="1000" w:type="dxa"/>
            <w:vAlign w:val="bottom"/>
            <w:gridSpan w:val="3"/>
          </w:tcPr>
          <w:p>
            <w:pPr>
              <w:jc w:val="center"/>
              <w:ind w:right="130"/>
              <w:spacing w:after="0" w:line="142" w:lineRule="exact"/>
              <w:rPr>
                <w:sz w:val="20"/>
                <w:szCs w:val="20"/>
                <w:color w:val="auto"/>
              </w:rPr>
            </w:pPr>
            <w:r>
              <w:rPr>
                <w:rFonts w:ascii="Arial" w:cs="Arial" w:eastAsia="Arial" w:hAnsi="Arial"/>
                <w:sz w:val="14"/>
                <w:szCs w:val="14"/>
                <w:b w:val="1"/>
                <w:bCs w:val="1"/>
                <w:color w:val="auto"/>
                <w:w w:val="93"/>
              </w:rPr>
              <w:t>Accumulate</w:t>
            </w:r>
          </w:p>
        </w:tc>
        <w:tc>
          <w:tcPr>
            <w:tcW w:w="220" w:type="dxa"/>
            <w:vAlign w:val="bottom"/>
          </w:tcPr>
          <w:p>
            <w:pPr>
              <w:spacing w:after="0"/>
              <w:rPr>
                <w:sz w:val="12"/>
                <w:szCs w:val="12"/>
                <w:color w:val="auto"/>
              </w:rPr>
            </w:pPr>
          </w:p>
        </w:tc>
        <w:tc>
          <w:tcPr>
            <w:tcW w:w="920" w:type="dxa"/>
            <w:vAlign w:val="bottom"/>
            <w:gridSpan w:val="2"/>
          </w:tcPr>
          <w:p>
            <w:pPr>
              <w:jc w:val="center"/>
              <w:ind w:right="241"/>
              <w:spacing w:after="0" w:line="142"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2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Preferred Stock</w:t>
            </w:r>
          </w:p>
        </w:tc>
        <w:tc>
          <w:tcPr>
            <w:tcW w:w="260" w:type="dxa"/>
            <w:vAlign w:val="bottom"/>
          </w:tcPr>
          <w:p>
            <w:pPr>
              <w:spacing w:after="0"/>
              <w:rPr>
                <w:sz w:val="15"/>
                <w:szCs w:val="15"/>
                <w:color w:val="auto"/>
              </w:rPr>
            </w:pPr>
          </w:p>
        </w:tc>
        <w:tc>
          <w:tcPr>
            <w:tcW w:w="2060" w:type="dxa"/>
            <w:vAlign w:val="bottom"/>
            <w:tcBorders>
              <w:bottom w:val="single" w:sz="8" w:color="auto"/>
            </w:tcBorders>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ind w:right="35"/>
              <w:spacing w:after="0"/>
              <w:rPr>
                <w:sz w:val="20"/>
                <w:szCs w:val="20"/>
                <w:color w:val="auto"/>
              </w:rPr>
            </w:pPr>
            <w:r>
              <w:rPr>
                <w:rFonts w:ascii="Arial" w:cs="Arial" w:eastAsia="Arial" w:hAnsi="Arial"/>
                <w:sz w:val="14"/>
                <w:szCs w:val="14"/>
                <w:b w:val="1"/>
                <w:bCs w:val="1"/>
                <w:color w:val="auto"/>
                <w:w w:val="98"/>
              </w:rPr>
              <w:t>Paid-In</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2"/>
              </w:rPr>
              <w:t>d</w:t>
            </w:r>
          </w:p>
        </w:tc>
        <w:tc>
          <w:tcPr>
            <w:tcW w:w="1140" w:type="dxa"/>
            <w:vAlign w:val="bottom"/>
            <w:gridSpan w:val="3"/>
          </w:tcPr>
          <w:p>
            <w:pPr>
              <w:jc w:val="center"/>
              <w:ind w:right="21"/>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1060" w:type="dxa"/>
            <w:vAlign w:val="bottom"/>
          </w:tcPr>
          <w:p>
            <w:pPr>
              <w:jc w:val="right"/>
              <w:ind w:right="237"/>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13"/>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4"/>
                <w:szCs w:val="14"/>
                <w:color w:val="auto"/>
              </w:rPr>
            </w:pPr>
          </w:p>
        </w:tc>
        <w:tc>
          <w:tcPr>
            <w:tcW w:w="1000" w:type="dxa"/>
            <w:vAlign w:val="bottom"/>
          </w:tcPr>
          <w:p>
            <w:pPr>
              <w:jc w:val="right"/>
              <w:ind w:right="216"/>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5"/>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8"/>
              </w:rPr>
              <w:t>Deficit</w:t>
            </w:r>
          </w:p>
        </w:tc>
        <w:tc>
          <w:tcPr>
            <w:tcW w:w="220" w:type="dxa"/>
            <w:vAlign w:val="bottom"/>
          </w:tcPr>
          <w:p>
            <w:pPr>
              <w:spacing w:after="0"/>
              <w:rPr>
                <w:sz w:val="14"/>
                <w:szCs w:val="14"/>
                <w:color w:val="auto"/>
              </w:rPr>
            </w:pPr>
          </w:p>
        </w:tc>
        <w:tc>
          <w:tcPr>
            <w:tcW w:w="920" w:type="dxa"/>
            <w:vAlign w:val="bottom"/>
            <w:gridSpan w:val="2"/>
          </w:tcPr>
          <w:p>
            <w:pPr>
              <w:jc w:val="center"/>
              <w:ind w:right="241"/>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209"/>
        </w:trPr>
        <w:tc>
          <w:tcPr>
            <w:tcW w:w="33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12,767,202</w:t>
            </w: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117,331</w:t>
            </w: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9,509,182</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(90,041</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(88,849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75"/>
        </w:trPr>
        <w:tc>
          <w:tcPr>
            <w:tcW w:w="3340" w:type="dxa"/>
            <w:vAlign w:val="bottom"/>
          </w:tcPr>
          <w:p>
            <w:pPr>
              <w:ind w:left="20"/>
              <w:spacing w:after="0" w:line="175" w:lineRule="exact"/>
              <w:rPr>
                <w:sz w:val="20"/>
                <w:szCs w:val="20"/>
                <w:color w:val="auto"/>
              </w:rPr>
            </w:pPr>
            <w:r>
              <w:rPr>
                <w:rFonts w:ascii="Arial" w:cs="Arial" w:eastAsia="Arial" w:hAnsi="Arial"/>
                <w:sz w:val="18"/>
                <w:szCs w:val="18"/>
                <w:color w:val="auto"/>
                <w:w w:val="94"/>
              </w:rPr>
              <w:t>Issuance of common stock upon exercise of</w:t>
            </w: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222,850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w w:val="97"/>
              </w:rPr>
              <w:t>(29,855 )</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(29,855 )</w:t>
            </w:r>
          </w:p>
        </w:tc>
        <w:tc>
          <w:tcPr>
            <w:tcW w:w="0" w:type="dxa"/>
            <w:vAlign w:val="bottom"/>
          </w:tcPr>
          <w:p>
            <w:pPr>
              <w:spacing w:after="0"/>
              <w:rPr>
                <w:sz w:val="1"/>
                <w:szCs w:val="1"/>
                <w:color w:val="auto"/>
              </w:rPr>
            </w:pPr>
          </w:p>
        </w:tc>
      </w:tr>
      <w:tr>
        <w:trPr>
          <w:trHeight w:val="168"/>
        </w:trPr>
        <w:tc>
          <w:tcPr>
            <w:tcW w:w="334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b w:val="1"/>
                <w:bCs w:val="1"/>
                <w:color w:val="auto"/>
              </w:rPr>
              <w:t>Balance at June 30, 2021</w:t>
            </w:r>
          </w:p>
        </w:tc>
        <w:tc>
          <w:tcPr>
            <w:tcW w:w="106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jc w:val="right"/>
              <w:spacing w:after="0" w:line="168" w:lineRule="exact"/>
              <w:rPr>
                <w:sz w:val="20"/>
                <w:szCs w:val="20"/>
                <w:color w:val="auto"/>
              </w:rPr>
            </w:pPr>
            <w:r>
              <w:rPr>
                <w:rFonts w:ascii="Arial" w:cs="Arial" w:eastAsia="Arial" w:hAnsi="Arial"/>
                <w:sz w:val="18"/>
                <w:szCs w:val="18"/>
                <w:color w:val="auto"/>
                <w:w w:val="98"/>
              </w:rPr>
              <w:t>(119,89</w:t>
            </w:r>
          </w:p>
        </w:tc>
        <w:tc>
          <w:tcPr>
            <w:tcW w:w="2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12,767,202</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117,331</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9,732,032</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2,598</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6 )</w:t>
            </w: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(117,289 )</w:t>
            </w:r>
          </w:p>
        </w:tc>
        <w:tc>
          <w:tcPr>
            <w:tcW w:w="0" w:type="dxa"/>
            <w:vAlign w:val="bottom"/>
          </w:tcPr>
          <w:p>
            <w:pPr>
              <w:spacing w:after="0"/>
              <w:rPr>
                <w:sz w:val="1"/>
                <w:szCs w:val="1"/>
                <w:color w:val="auto"/>
              </w:rPr>
            </w:pPr>
          </w:p>
        </w:tc>
      </w:tr>
      <w:tr>
        <w:trPr>
          <w:trHeight w:val="20"/>
        </w:trPr>
        <w:tc>
          <w:tcPr>
            <w:tcW w:w="33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-1722120</wp:posOffset>
            </wp:positionV>
            <wp:extent cx="768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-1704975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-1722120</wp:posOffset>
            </wp:positionV>
            <wp:extent cx="77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-1704975</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-1722120</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-1704975</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-1722120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-1704975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-1722120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-1704975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-1722120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-1704975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-24765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-7620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-24765</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-7620</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ind w:left="4640"/>
        <w:spacing w:after="0"/>
        <w:rPr>
          <w:sz w:val="20"/>
          <w:szCs w:val="20"/>
          <w:color w:val="auto"/>
        </w:rPr>
      </w:pPr>
      <w:r>
        <w:rPr>
          <w:rFonts w:ascii="Arial" w:cs="Arial" w:eastAsia="Arial" w:hAnsi="Arial"/>
          <w:sz w:val="18"/>
          <w:szCs w:val="18"/>
          <w:b w:val="1"/>
          <w:bCs w:val="1"/>
          <w:color w:val="auto"/>
        </w:rPr>
        <w:t>SIGHT SCIENCES, INC.</w:t>
      </w:r>
    </w:p>
    <w:p>
      <w:pPr>
        <w:spacing w:after="0" w:line="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Six Months Ended</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71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rPr>
              <w:t>June 30,</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718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09"/>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00" w:type="dxa"/>
            <w:vAlign w:val="bottom"/>
          </w:tcPr>
          <w:p>
            <w:pPr>
              <w:jc w:val="right"/>
              <w:ind w:right="913"/>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10"/>
              <w:spacing w:after="0"/>
              <w:rPr>
                <w:sz w:val="20"/>
                <w:szCs w:val="20"/>
                <w:color w:val="auto"/>
              </w:rPr>
            </w:pPr>
            <w:r>
              <w:rPr>
                <w:rFonts w:ascii="Arial" w:cs="Arial" w:eastAsia="Arial" w:hAnsi="Arial"/>
                <w:sz w:val="18"/>
                <w:szCs w:val="18"/>
                <w:color w:val="auto"/>
              </w:rPr>
              <w:t>(47,106 )</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(29,855 )</w:t>
            </w:r>
          </w:p>
        </w:tc>
      </w:tr>
      <w:tr>
        <w:trPr>
          <w:trHeight w:val="216"/>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375</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Accretion of debt discount and amortization of debt issuance costs</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6,506</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Provision for doubtful accounts receivable</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Arial" w:cs="Arial" w:eastAsia="Arial" w:hAnsi="Arial"/>
                <w:sz w:val="18"/>
                <w:szCs w:val="18"/>
                <w:color w:val="auto"/>
              </w:rPr>
              <w:t>Provision for excess and obsolete inventories</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operating lease expense</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Arial" w:cs="Arial" w:eastAsia="Arial" w:hAnsi="Arial"/>
                <w:sz w:val="18"/>
                <w:szCs w:val="18"/>
                <w:color w:val="auto"/>
              </w:rPr>
              <w:t>Change in fair value of redeemable convertible preferred stock warrant</w:t>
            </w:r>
          </w:p>
        </w:tc>
        <w:tc>
          <w:tcPr>
            <w:tcW w:w="1100" w:type="dxa"/>
            <w:vAlign w:val="bottom"/>
          </w:tcPr>
          <w:p>
            <w:pPr>
              <w:spacing w:after="0"/>
              <w:rPr>
                <w:sz w:val="18"/>
                <w:szCs w:val="18"/>
                <w:color w:val="auto"/>
              </w:rPr>
            </w:pP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4,872</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disposal of property and equipment</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w:t>
            </w:r>
          </w:p>
        </w:tc>
        <w:tc>
          <w:tcPr>
            <w:tcW w:w="1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(1,870 )</w:t>
            </w:r>
          </w:p>
        </w:tc>
        <w:tc>
          <w:tcPr>
            <w:tcW w:w="6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(1,628 )</w:t>
            </w:r>
          </w:p>
        </w:tc>
      </w:tr>
      <w:tr>
        <w:trPr>
          <w:trHeight w:val="216"/>
        </w:trPr>
        <w:tc>
          <w:tcPr>
            <w:tcW w:w="7180" w:type="dxa"/>
            <w:vAlign w:val="bottom"/>
          </w:tcPr>
          <w:p>
            <w:pPr>
              <w:ind w:left="200"/>
              <w:spacing w:after="0"/>
              <w:rPr>
                <w:sz w:val="20"/>
                <w:szCs w:val="20"/>
                <w:color w:val="auto"/>
              </w:rPr>
            </w:pPr>
            <w:r>
              <w:rPr>
                <w:rFonts w:ascii="Arial" w:cs="Arial" w:eastAsia="Arial" w:hAnsi="Arial"/>
                <w:sz w:val="18"/>
                <w:szCs w:val="18"/>
                <w:color w:val="auto"/>
              </w:rPr>
              <w:t>Inventory</w:t>
            </w:r>
          </w:p>
        </w:tc>
        <w:tc>
          <w:tcPr>
            <w:tcW w:w="1100" w:type="dxa"/>
            <w:vAlign w:val="bottom"/>
          </w:tcPr>
          <w:p>
            <w:pPr>
              <w:spacing w:after="0"/>
              <w:rPr>
                <w:sz w:val="18"/>
                <w:szCs w:val="18"/>
                <w:color w:val="auto"/>
              </w:rPr>
            </w:pPr>
          </w:p>
        </w:tc>
        <w:tc>
          <w:tcPr>
            <w:tcW w:w="960" w:type="dxa"/>
            <w:vAlign w:val="bottom"/>
            <w:gridSpan w:val="2"/>
          </w:tcPr>
          <w:p>
            <w:pPr>
              <w:jc w:val="right"/>
              <w:ind w:right="110"/>
              <w:spacing w:after="0"/>
              <w:rPr>
                <w:sz w:val="20"/>
                <w:szCs w:val="20"/>
                <w:color w:val="auto"/>
              </w:rPr>
            </w:pPr>
            <w:r>
              <w:rPr>
                <w:rFonts w:ascii="Arial" w:cs="Arial" w:eastAsia="Arial" w:hAnsi="Arial"/>
                <w:sz w:val="18"/>
                <w:szCs w:val="18"/>
                <w:color w:val="auto"/>
              </w:rPr>
              <w:t>(1,583 )</w:t>
            </w:r>
          </w:p>
        </w:tc>
        <w:tc>
          <w:tcPr>
            <w:tcW w:w="6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(255 )</w:t>
            </w:r>
          </w:p>
        </w:tc>
      </w:tr>
      <w:tr>
        <w:trPr>
          <w:trHeight w:val="216"/>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(1,197 )</w:t>
            </w:r>
          </w:p>
        </w:tc>
      </w:tr>
      <w:tr>
        <w:trPr>
          <w:trHeight w:val="216"/>
        </w:trPr>
        <w:tc>
          <w:tcPr>
            <w:tcW w:w="7180" w:type="dxa"/>
            <w:vAlign w:val="bottom"/>
          </w:tcPr>
          <w:p>
            <w:pPr>
              <w:ind w:left="200"/>
              <w:spacing w:after="0"/>
              <w:rPr>
                <w:sz w:val="20"/>
                <w:szCs w:val="20"/>
                <w:color w:val="auto"/>
              </w:rPr>
            </w:pPr>
            <w:r>
              <w:rPr>
                <w:rFonts w:ascii="Arial" w:cs="Arial" w:eastAsia="Arial" w:hAnsi="Arial"/>
                <w:sz w:val="18"/>
                <w:szCs w:val="18"/>
                <w:color w:val="auto"/>
              </w:rPr>
              <w:t>Other noncurrent assets</w:t>
            </w:r>
          </w:p>
        </w:tc>
        <w:tc>
          <w:tcPr>
            <w:tcW w:w="1100" w:type="dxa"/>
            <w:vAlign w:val="bottom"/>
          </w:tcPr>
          <w:p>
            <w:pPr>
              <w:spacing w:after="0"/>
              <w:rPr>
                <w:sz w:val="18"/>
                <w:szCs w:val="18"/>
                <w:color w:val="auto"/>
              </w:rPr>
            </w:pPr>
          </w:p>
        </w:tc>
        <w:tc>
          <w:tcPr>
            <w:tcW w:w="960" w:type="dxa"/>
            <w:vAlign w:val="bottom"/>
            <w:gridSpan w:val="2"/>
          </w:tcPr>
          <w:p>
            <w:pPr>
              <w:jc w:val="right"/>
              <w:ind w:right="110"/>
              <w:spacing w:after="0"/>
              <w:rPr>
                <w:sz w:val="20"/>
                <w:szCs w:val="20"/>
                <w:color w:val="auto"/>
              </w:rPr>
            </w:pPr>
            <w:r>
              <w:rPr>
                <w:rFonts w:ascii="Arial" w:cs="Arial" w:eastAsia="Arial" w:hAnsi="Arial"/>
                <w:sz w:val="18"/>
                <w:szCs w:val="18"/>
                <w:color w:val="auto"/>
              </w:rPr>
              <w:t>(34 )</w:t>
            </w:r>
          </w:p>
        </w:tc>
        <w:tc>
          <w:tcPr>
            <w:tcW w:w="6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(3,081 )</w:t>
            </w:r>
          </w:p>
        </w:tc>
      </w:tr>
      <w:tr>
        <w:trPr>
          <w:trHeight w:val="216"/>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1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(608 )</w:t>
            </w:r>
          </w:p>
        </w:tc>
        <w:tc>
          <w:tcPr>
            <w:tcW w:w="6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Arial" w:cs="Arial" w:eastAsia="Arial" w:hAnsi="Arial"/>
                <w:sz w:val="18"/>
                <w:szCs w:val="18"/>
                <w:color w:val="auto"/>
              </w:rPr>
              <w:t>Accrued compensation</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299</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and other current liabilities</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Arial" w:cs="Arial" w:eastAsia="Arial" w:hAnsi="Arial"/>
                <w:sz w:val="18"/>
                <w:szCs w:val="18"/>
                <w:color w:val="auto"/>
              </w:rPr>
              <w:t>Other noncurrent liabilities</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r>
      <w:tr>
        <w:trPr>
          <w:trHeight w:val="210"/>
        </w:trPr>
        <w:tc>
          <w:tcPr>
            <w:tcW w:w="7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b w:val="1"/>
                <w:bCs w:val="1"/>
                <w:color w:val="auto"/>
              </w:rPr>
              <w:t>Net cash used in operating activities</w:t>
            </w:r>
          </w:p>
        </w:tc>
        <w:tc>
          <w:tcPr>
            <w:tcW w:w="1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(40,271</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(25,306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Purchases of property and equipment</w:t>
            </w:r>
          </w:p>
        </w:tc>
        <w:tc>
          <w:tcPr>
            <w:tcW w:w="1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(569 )</w:t>
            </w:r>
          </w:p>
        </w:tc>
        <w:tc>
          <w:tcPr>
            <w:tcW w:w="6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(369 )</w:t>
            </w:r>
          </w:p>
        </w:tc>
      </w:tr>
      <w:tr>
        <w:trPr>
          <w:trHeight w:val="20"/>
        </w:trPr>
        <w:tc>
          <w:tcPr>
            <w:tcW w:w="71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180" w:type="dxa"/>
            <w:vAlign w:val="bottom"/>
          </w:tcPr>
          <w:p>
            <w:pPr>
              <w:ind w:left="200"/>
              <w:spacing w:after="0"/>
              <w:rPr>
                <w:sz w:val="20"/>
                <w:szCs w:val="20"/>
                <w:color w:val="auto"/>
              </w:rPr>
            </w:pPr>
            <w:r>
              <w:rPr>
                <w:rFonts w:ascii="Arial" w:cs="Arial" w:eastAsia="Arial" w:hAnsi="Arial"/>
                <w:sz w:val="18"/>
                <w:szCs w:val="18"/>
                <w:b w:val="1"/>
                <w:bCs w:val="1"/>
                <w:color w:val="auto"/>
              </w:rPr>
              <w:t>Net cash used in investing activities</w:t>
            </w:r>
          </w:p>
        </w:tc>
        <w:tc>
          <w:tcPr>
            <w:tcW w:w="1100" w:type="dxa"/>
            <w:vAlign w:val="bottom"/>
          </w:tcPr>
          <w:p>
            <w:pPr>
              <w:spacing w:after="0"/>
              <w:rPr>
                <w:sz w:val="18"/>
                <w:szCs w:val="18"/>
                <w:color w:val="auto"/>
              </w:rPr>
            </w:pPr>
          </w:p>
        </w:tc>
        <w:tc>
          <w:tcPr>
            <w:tcW w:w="960" w:type="dxa"/>
            <w:vAlign w:val="bottom"/>
            <w:gridSpan w:val="2"/>
          </w:tcPr>
          <w:p>
            <w:pPr>
              <w:jc w:val="right"/>
              <w:ind w:right="110"/>
              <w:spacing w:after="0"/>
              <w:rPr>
                <w:sz w:val="20"/>
                <w:szCs w:val="20"/>
                <w:color w:val="auto"/>
              </w:rPr>
            </w:pPr>
            <w:r>
              <w:rPr>
                <w:rFonts w:ascii="Arial" w:cs="Arial" w:eastAsia="Arial" w:hAnsi="Arial"/>
                <w:sz w:val="18"/>
                <w:szCs w:val="18"/>
                <w:color w:val="auto"/>
              </w:rPr>
              <w:t>(569 )</w:t>
            </w:r>
          </w:p>
        </w:tc>
        <w:tc>
          <w:tcPr>
            <w:tcW w:w="6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(369 )</w:t>
            </w:r>
          </w:p>
        </w:tc>
      </w:tr>
      <w:tr>
        <w:trPr>
          <w:trHeight w:val="210"/>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
              <w:spacing w:after="0"/>
              <w:rPr>
                <w:sz w:val="20"/>
                <w:szCs w:val="20"/>
                <w:color w:val="auto"/>
              </w:rPr>
            </w:pPr>
            <w:r>
              <w:rPr>
                <w:rFonts w:ascii="Arial" w:cs="Arial" w:eastAsia="Arial" w:hAnsi="Arial"/>
                <w:sz w:val="18"/>
                <w:szCs w:val="18"/>
                <w:color w:val="auto"/>
              </w:rPr>
              <w:t>Payments of costs related to initial public offering</w:t>
            </w:r>
          </w:p>
        </w:tc>
        <w:tc>
          <w:tcPr>
            <w:tcW w:w="1100" w:type="dxa"/>
            <w:vAlign w:val="bottom"/>
          </w:tcPr>
          <w:p>
            <w:pPr>
              <w:spacing w:after="0"/>
              <w:rPr>
                <w:sz w:val="18"/>
                <w:szCs w:val="18"/>
                <w:color w:val="auto"/>
              </w:rPr>
            </w:pP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(471 )</w:t>
            </w:r>
          </w:p>
        </w:tc>
      </w:tr>
      <w:tr>
        <w:trPr>
          <w:trHeight w:val="216"/>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Proceeds from exercise of common stock options</w:t>
            </w:r>
          </w:p>
        </w:tc>
        <w:tc>
          <w:tcPr>
            <w:tcW w:w="1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80" w:type="dxa"/>
            <w:vAlign w:val="bottom"/>
          </w:tcPr>
          <w:p>
            <w:pPr>
              <w:ind w:left="2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(264 )</w:t>
            </w:r>
          </w:p>
        </w:tc>
      </w:tr>
      <w:tr>
        <w:trPr>
          <w:trHeight w:val="209"/>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1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(40,590</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(25,939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18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260,687</w:t>
            </w:r>
          </w:p>
        </w:tc>
        <w:tc>
          <w:tcPr>
            <w:tcW w:w="2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61,511</w:t>
            </w:r>
          </w:p>
        </w:tc>
        <w:tc>
          <w:tcPr>
            <w:tcW w:w="100" w:type="dxa"/>
            <w:vAlign w:val="bottom"/>
          </w:tcPr>
          <w:p>
            <w:pPr>
              <w:spacing w:after="0"/>
              <w:rPr>
                <w:sz w:val="18"/>
                <w:szCs w:val="18"/>
                <w:color w:val="auto"/>
              </w:rPr>
            </w:pPr>
          </w:p>
        </w:tc>
      </w:tr>
      <w:tr>
        <w:trPr>
          <w:trHeight w:val="250"/>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100" w:type="dxa"/>
            <w:vAlign w:val="bottom"/>
            <w:tcBorders>
              <w:bottom w:val="single" w:sz="8" w:color="auto"/>
            </w:tcBorders>
            <w:shd w:val="clear" w:color="auto" w:fill="CFF0FC"/>
          </w:tcPr>
          <w:p>
            <w:pPr>
              <w:jc w:val="right"/>
              <w:ind w:right="913"/>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220,097</w:t>
            </w:r>
          </w:p>
        </w:tc>
        <w:tc>
          <w:tcPr>
            <w:tcW w:w="28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2"/>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interest</w:t>
            </w:r>
          </w:p>
        </w:tc>
        <w:tc>
          <w:tcPr>
            <w:tcW w:w="1100" w:type="dxa"/>
            <w:vAlign w:val="bottom"/>
            <w:shd w:val="clear" w:color="auto" w:fill="CFF0FC"/>
          </w:tcPr>
          <w:p>
            <w:pPr>
              <w:jc w:val="right"/>
              <w:ind w:right="913"/>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Supplemental noncash disclosure</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Acquisition of property and equipment included in accounts payable and accrued liabilities</w:t>
            </w:r>
          </w:p>
        </w:tc>
        <w:tc>
          <w:tcPr>
            <w:tcW w:w="1100" w:type="dxa"/>
            <w:vAlign w:val="bottom"/>
            <w:shd w:val="clear" w:color="auto" w:fill="CFF0FC"/>
          </w:tcPr>
          <w:p>
            <w:pPr>
              <w:jc w:val="right"/>
              <w:ind w:right="913"/>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FF0FC"/>
          </w:tcPr>
          <w:p>
            <w:pPr>
              <w:spacing w:after="0"/>
              <w:rPr>
                <w:sz w:val="18"/>
                <w:szCs w:val="18"/>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Unpaid initial public offering costs in accounts payable and accrued liabilities</w:t>
            </w:r>
          </w:p>
        </w:tc>
        <w:tc>
          <w:tcPr>
            <w:tcW w:w="1100" w:type="dxa"/>
            <w:vAlign w:val="bottom"/>
          </w:tcPr>
          <w:p>
            <w:pPr>
              <w:jc w:val="right"/>
              <w:ind w:right="913"/>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2,764</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-2280285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-2280285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-1997075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-1997075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-1431290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-1431290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-857250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-840105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-857250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-840105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SIGHT 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 Company and Nature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212"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Sight Sciences, Inc. (the “Company”) was incorporated in the State of Delaware in 2010 and is headquartered in Menlo Park, California. The Company is an ophthalmic medical device company focused on the development and commercialization of surgical and nonsurgical technologies for the treatment of prevalent eye diseases.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04"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In July 2021, the Company closed its initial public offering (“IPO”) of its common stock in which the Company issued and sold 10,000,000 shares of its common stock, and sold an additional 1,500,000 shares of common stock upon the full exercise of the underwriters’ option to purchase additional shares of the Company's common stock. These sales occurred at the initial public offering price of $24.00 per share. The Company received net proceeds of approximately $252.2 million from the IPO, after deducting underwriting discounts and commissions of $19.3 million and offering costs of $4.5 million.</w:t>
      </w:r>
    </w:p>
    <w:p>
      <w:pPr>
        <w:spacing w:after="0" w:line="150" w:lineRule="exact"/>
        <w:rPr>
          <w:sz w:val="20"/>
          <w:szCs w:val="20"/>
          <w:color w:val="auto"/>
        </w:rPr>
      </w:pPr>
    </w:p>
    <w:p>
      <w:pPr>
        <w:ind w:right="40" w:firstLine="509"/>
        <w:spacing w:after="0" w:line="303" w:lineRule="auto"/>
        <w:rPr>
          <w:sz w:val="20"/>
          <w:szCs w:val="20"/>
          <w:color w:val="auto"/>
        </w:rPr>
      </w:pPr>
      <w:r>
        <w:rPr>
          <w:rFonts w:ascii="Arial" w:cs="Arial" w:eastAsia="Arial" w:hAnsi="Arial"/>
          <w:sz w:val="16"/>
          <w:szCs w:val="16"/>
          <w:color w:val="auto"/>
        </w:rPr>
        <w:t>Immediately prior to the closing of the IPO, all then-outstanding shares of redeemable convertible preferred stock were converted into 25,534,404 shares of common stock. Further, all outstanding redeemable convertible preferred stock warrants were converted into warrants to purchase 659,028 shares of common stock, which resulted in the reclassification of the convertible preferred stock warrant liability to additional paid-in capital.</w:t>
      </w:r>
    </w:p>
    <w:p>
      <w:pPr>
        <w:spacing w:after="0" w:line="140"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In connection with the Company’s IPO, in July 2021, the Company’s certificate of incorporation was amended and restated to provide for 200,000,000 authorized shares of common stock with a par value of $0.001 per share and 10,000,000 authorized shares of preferred stock with a par value of $0.001 per share.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Significant Risks and Uncertainties</w:t>
      </w:r>
    </w:p>
    <w:p>
      <w:pPr>
        <w:spacing w:after="0" w:line="117"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Since inception, the Company has incurred losses and negative cash flows from operations. As of June 30, 2022, the Company had an accumulated deficit of $200.1 million and recorded a net loss of $47.1 million for the six months then ended and expects to incur future additional losses. If the Company’s revenue levels from its products are not sufficient or if the Company is unable to secure additional funding when desired, the Company may need to delay the development of its products and scale back its business and operations.</w:t>
      </w:r>
    </w:p>
    <w:p>
      <w:pPr>
        <w:spacing w:after="0" w:line="201" w:lineRule="exact"/>
        <w:rPr>
          <w:sz w:val="20"/>
          <w:szCs w:val="20"/>
          <w:color w:val="auto"/>
        </w:rPr>
      </w:pPr>
    </w:p>
    <w:p>
      <w:pPr>
        <w:ind w:right="60" w:firstLine="509"/>
        <w:spacing w:after="0" w:line="263" w:lineRule="auto"/>
        <w:rPr>
          <w:sz w:val="20"/>
          <w:szCs w:val="20"/>
          <w:color w:val="auto"/>
        </w:rPr>
      </w:pPr>
      <w:r>
        <w:rPr>
          <w:rFonts w:ascii="Arial" w:cs="Arial" w:eastAsia="Arial" w:hAnsi="Arial"/>
          <w:sz w:val="17"/>
          <w:szCs w:val="17"/>
          <w:color w:val="auto"/>
        </w:rPr>
        <w:t>The Company believes that its existing sources of liquidity will satisfy its working capital and capital requirements for at least 12 months from the issuance of its financial statements. Any failure to generate sufficient revenues, achieve planned gross margins, or control operating costs could require the Company to raise additional capital through equity or debt financing. Such additional financing may not be available on acceptable terms, or at all, and could require the Company to modify, delay, or abandon some of its planned future expansion or expenditures or reduce some of its ongoing operating costs, which could harm its business, operating results, financial condition, and ability to achieve its intended business objectives.</w:t>
      </w:r>
    </w:p>
    <w:p>
      <w:pPr>
        <w:spacing w:after="0" w:line="171"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auto"/>
        </w:rPr>
        <w:t>The ongoing COVID-19 pandemic has impacted, and is expected to continue to impact, demand for the Company's products, which are used in procedures and therapies that are considered elective. COVID-19 may also, directly or indirectly, have an unfavorable impact on other areas of the Company's business including, but not limited to, supply chain, sales, third party manufacturing, research and development costs and clinical studies. The full effect of the COVID-19 pandemic on the Company's financial condition and results of operations remains highly uncertain and cannot be predicted with confidence, and will depend on certain developments, including the duration and severity of the COVID-19 pandemic and its potential variants. The impact on the Company's customers and suppliers and the range of governmental and community reactions to the pandemic are uncertain. The Company may continue to experience reduced customer demand or constrained supply that could materially adversely impact business, financial condition, results of operations, liquidity and cash flows in future periods.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There have been no significant changes in the Company's significant accounting policies during the six months ended June 30, 2022, as compared with those disclosed in the 2021 Form 10-K for the year ended December 31, 2021 filed with the U.S. Securities and Exchange Commission (SEC) on March 24, 2022.</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condensed consolidated financial statements are unaudited and have been prepared in accordance with generally accepted</w:t>
      </w:r>
    </w:p>
    <w:p>
      <w:pPr>
        <w:spacing w:after="0" w:line="2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accounting principles in the United States of America (“GAAP”) applicable to interim periods and pursuant to the instructions to Form 10-Q and Article 10 of Regulation S-X.</w:t>
      </w:r>
    </w:p>
    <w:p>
      <w:pPr>
        <w:spacing w:after="0" w:line="65" w:lineRule="exact"/>
        <w:rPr>
          <w:sz w:val="20"/>
          <w:szCs w:val="20"/>
          <w:color w:val="auto"/>
        </w:rPr>
      </w:pPr>
    </w:p>
    <w:p>
      <w:pPr>
        <w:ind w:right="40" w:firstLine="509"/>
        <w:spacing w:after="0" w:line="280" w:lineRule="auto"/>
        <w:rPr>
          <w:sz w:val="20"/>
          <w:szCs w:val="20"/>
          <w:color w:val="auto"/>
        </w:rPr>
      </w:pPr>
      <w:r>
        <w:rPr>
          <w:rFonts w:ascii="Arial" w:cs="Arial" w:eastAsia="Arial" w:hAnsi="Arial"/>
          <w:sz w:val="16"/>
          <w:szCs w:val="16"/>
          <w:color w:val="auto"/>
        </w:rPr>
        <w:t>The unaudited consolidated financial statements have been prepared on a basis consistent with the audited financial statements. In the opinion of management, the unaudited consolidated financial statements reflect all adjustments, which include only normal recurring adjustments, necessary for the fair presentation of the Company's financial information contained herein. The condensed consolidated balance sheet as of December 31, 2021 has been derived from the audited financial statements at that date. These interim consolidated financial statements do not include all disclosures required by GAAP and should be read in conjunction with the Company's financial statements and accompanying notes for the fiscal year ended December 31, 2021, which are contained in the Company's 2021 Form 10-K filed with the SEC on March 24, 2022. The Company's results of operations for the three- and six-months ended June 30, 2022 are not necessarily indicative of the results to be expected for the year ending December 31, 2022 or for any other interim period.</w:t>
      </w:r>
    </w:p>
    <w:p>
      <w:pPr>
        <w:spacing w:after="0" w:line="158"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The accompanying condensed consolidated financial statements reflect the operations of the Company and its wholly-owned subsidiaries. All intercompany accounts and transactions have been eliminated.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104"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231F20"/>
        </w:rPr>
        <w:t>The preparation of financial statements in conformity with GAAP requires management to make estimates and assumptions that affect the reported amounts of assets and liabilities, disclosure of contingent liabilities at the date of the financial statements, and the reported amounts of revenues and expense during the reporting period. The most significant estimates related to inventory excess and obsolescence, the selection of useful lives of property and equipment, determination of the fair value of stock option grants, the fair value of the redeemable convertible preferred stock warrants, and provisions for income taxes and contingencies. Management evaluates its estimates and assumptions on an ongoing basis using historical experience and other factors, including the current economic environment, and makes adjustments when facts and circumstances dictate. These estimates are based on information available as of the date of the financial statements. Actual results could differ from these estimates and such differences could be material to the Company’s financial position and 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17" w:lineRule="exact"/>
        <w:rPr>
          <w:sz w:val="20"/>
          <w:szCs w:val="20"/>
          <w:color w:val="auto"/>
        </w:rPr>
      </w:pPr>
    </w:p>
    <w:p>
      <w:pPr>
        <w:ind w:right="400" w:firstLine="509"/>
        <w:spacing w:after="0" w:line="248" w:lineRule="auto"/>
        <w:rPr>
          <w:sz w:val="20"/>
          <w:szCs w:val="20"/>
          <w:color w:val="auto"/>
        </w:rPr>
      </w:pPr>
      <w:r>
        <w:rPr>
          <w:rFonts w:ascii="Arial" w:cs="Arial" w:eastAsia="Arial" w:hAnsi="Arial"/>
          <w:sz w:val="18"/>
          <w:szCs w:val="18"/>
          <w:color w:val="auto"/>
        </w:rPr>
        <w:t>During the three and six-month period ended June 30, 2022, there were no significant Accounting Standard Updates (ASU's) issued that were adopted. As of June 30, 2022, there are no significant ASU's issued and not yet adopted, that are expected to have a material impact on the Company's financial statements and related disclosures.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08"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7"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Level 1—Inputs are quoted prices (unadjusted) in active markets for identical assets or liabilities that the Company has the ability to access at the measurement date.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11" w:name="page12"/>
    <w:bookmarkEnd w:id="11"/>
    <w:p>
      <w:pPr>
        <w:ind w:right="100" w:firstLine="509"/>
        <w:spacing w:after="0" w:line="256" w:lineRule="auto"/>
        <w:rPr>
          <w:sz w:val="20"/>
          <w:szCs w:val="20"/>
          <w:color w:val="auto"/>
        </w:rPr>
      </w:pPr>
      <w:r>
        <w:rPr>
          <w:rFonts w:ascii="Arial" w:cs="Arial" w:eastAsia="Arial" w:hAnsi="Arial"/>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7"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Level 3—Inputs are unobservable inputs for the asset or liability. The level in the fair value hierarchy within which a fair value measurement in its entirety is based on the lowest-level input that is significant to the fair value measurement in its entirety.</w:t>
      </w:r>
    </w:p>
    <w:p>
      <w:pPr>
        <w:spacing w:after="0" w:line="157" w:lineRule="exact"/>
        <w:rPr>
          <w:sz w:val="20"/>
          <w:szCs w:val="20"/>
          <w:color w:val="auto"/>
        </w:rPr>
      </w:pPr>
    </w:p>
    <w:p>
      <w:pPr>
        <w:ind w:right="240" w:firstLine="509"/>
        <w:spacing w:after="0" w:line="256" w:lineRule="auto"/>
        <w:rPr>
          <w:sz w:val="20"/>
          <w:szCs w:val="20"/>
          <w:color w:val="auto"/>
        </w:rPr>
      </w:pPr>
      <w:r>
        <w:rPr>
          <w:rFonts w:ascii="Arial" w:cs="Arial" w:eastAsia="Arial" w:hAnsi="Arial"/>
          <w:sz w:val="18"/>
          <w:szCs w:val="18"/>
          <w:color w:val="auto"/>
        </w:rPr>
        <w:t>The Company's cash and cash equivalents included $174.7 million of treasury bills as of June 30, 2022. These securities are classified as held-to-maturity and all have been purchased with original maturities of 90 days or less. Held-to-maturity debt securities are recorded at amortized cost in the financial statements.</w:t>
      </w:r>
    </w:p>
    <w:p>
      <w:pPr>
        <w:spacing w:after="0" w:line="382"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119"/>
              <w:spacing w:after="0"/>
              <w:rPr>
                <w:sz w:val="20"/>
                <w:szCs w:val="20"/>
                <w:color w:val="auto"/>
              </w:rPr>
            </w:pPr>
            <w:r>
              <w:rPr>
                <w:rFonts w:ascii="Arial" w:cs="Arial" w:eastAsia="Arial" w:hAnsi="Arial"/>
                <w:sz w:val="14"/>
                <w:szCs w:val="14"/>
                <w:b w:val="1"/>
                <w:bCs w:val="1"/>
                <w:color w:val="auto"/>
                <w:w w:val="90"/>
              </w:rPr>
              <w:t>June 30, 2022</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3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Unrealized Gains</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Unrealized Losses</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4"/>
              </w:rPr>
              <w:t>Aggregate Fair Value</w:t>
            </w:r>
          </w:p>
        </w:tc>
        <w:tc>
          <w:tcPr>
            <w:tcW w:w="120" w:type="dxa"/>
            <w:vAlign w:val="bottom"/>
          </w:tcPr>
          <w:p>
            <w:pPr>
              <w:spacing w:after="0"/>
              <w:rPr>
                <w:sz w:val="14"/>
                <w:szCs w:val="14"/>
                <w:color w:val="auto"/>
              </w:rPr>
            </w:pPr>
          </w:p>
        </w:tc>
      </w:tr>
      <w:tr>
        <w:trPr>
          <w:trHeight w:val="209"/>
        </w:trPr>
        <w:tc>
          <w:tcPr>
            <w:tcW w:w="3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174,711</w:t>
            </w: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1319"/>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1239"/>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174,692</w:t>
            </w:r>
          </w:p>
        </w:tc>
        <w:tc>
          <w:tcPr>
            <w:tcW w:w="12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The Company measures the fair value of outstanding debt for disclosure purposes on a recurring basis. As of June 30, 2022 and December 31, 2021, total debt of $33.0 million and $32.7 million is reported at amortized cost, respectively. This outstanding debt is classified as Level 2 as it is not actively traded. The amortized cost of the outstanding debt approximates the fair value.</w:t>
      </w:r>
    </w:p>
    <w:p>
      <w:pPr>
        <w:spacing w:after="0" w:line="175" w:lineRule="exact"/>
        <w:rPr>
          <w:sz w:val="20"/>
          <w:szCs w:val="20"/>
          <w:color w:val="auto"/>
        </w:rPr>
      </w:pPr>
    </w:p>
    <w:p>
      <w:pPr>
        <w:ind w:right="80" w:firstLine="509"/>
        <w:spacing w:after="0" w:line="263" w:lineRule="auto"/>
        <w:rPr>
          <w:sz w:val="20"/>
          <w:szCs w:val="20"/>
          <w:color w:val="auto"/>
        </w:rPr>
      </w:pPr>
      <w:r>
        <w:rPr>
          <w:rFonts w:ascii="Arial" w:cs="Arial" w:eastAsia="Arial" w:hAnsi="Arial"/>
          <w:sz w:val="17"/>
          <w:szCs w:val="17"/>
          <w:color w:val="auto"/>
        </w:rPr>
        <w:t>The Company measured the redeemable convertible preferred stock warrants using Level 3 unobservable inputs within the Black-Scholes option-pricing model. The key assumptions included the fair value of redeemable convertible preferred stock, volatility, the risk-free interest rate, expected term (remaining contractual term of the warrants) and dividend yield. The Company had limited historical volatility information available, and the expected volatility was based on actual volatility for comparable public companies projected over the expected terms of the warrants. The Company did not apply a forfeiture rate to the warrants as there was not enough historical information available to estimate such a rate. The risk-free rate was based on the U.S. Treasury yield curve at the time of the grant over the expected term of the warrants.</w:t>
      </w:r>
    </w:p>
    <w:p>
      <w:pPr>
        <w:spacing w:after="0" w:line="173" w:lineRule="exact"/>
        <w:rPr>
          <w:sz w:val="20"/>
          <w:szCs w:val="20"/>
          <w:color w:val="auto"/>
        </w:rPr>
      </w:pPr>
    </w:p>
    <w:p>
      <w:pPr>
        <w:ind w:right="300" w:firstLine="509"/>
        <w:spacing w:after="0" w:line="249" w:lineRule="auto"/>
        <w:rPr>
          <w:sz w:val="20"/>
          <w:szCs w:val="20"/>
          <w:color w:val="auto"/>
        </w:rPr>
      </w:pPr>
      <w:r>
        <w:rPr>
          <w:rFonts w:ascii="Arial" w:cs="Arial" w:eastAsia="Arial" w:hAnsi="Arial"/>
          <w:sz w:val="18"/>
          <w:szCs w:val="18"/>
          <w:color w:val="auto"/>
        </w:rPr>
        <w:t>The Company determined the fair value of the redeemable convertible preferred stock warrants quarterly, with subsequent gains and losses from remeasurement of Level 3 financial liabilities recorded through other income (expense), net in condensed consolidated statements of operations and comprehensive loss. The redeemable convertible preferred stock warrants were converted to common stock warrants upon the closing of the IPO and subsequently settled during the third quarter of the year ended December 31, 2021.</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2" w:name="page13"/>
    <w:bookmarkEnd w:id="12"/>
    <w:p>
      <w:pPr>
        <w:ind w:right="160" w:firstLine="509"/>
        <w:spacing w:after="0" w:line="277" w:lineRule="auto"/>
        <w:rPr>
          <w:sz w:val="20"/>
          <w:szCs w:val="20"/>
          <w:color w:val="auto"/>
        </w:rPr>
      </w:pPr>
      <w:r>
        <w:rPr>
          <w:rFonts w:ascii="Arial" w:cs="Arial" w:eastAsia="Arial" w:hAnsi="Arial"/>
          <w:sz w:val="18"/>
          <w:szCs w:val="18"/>
          <w:color w:val="auto"/>
        </w:rPr>
        <w:t>A summary of the changes in the fair value of the Company’s Level 3 financial instruments for the three and six months ended June 30, 2021, is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Redeemable convertible</w:t>
            </w:r>
          </w:p>
        </w:tc>
      </w:tr>
      <w:tr>
        <w:trPr>
          <w:trHeight w:val="162"/>
        </w:trPr>
        <w:tc>
          <w:tcPr>
            <w:tcW w:w="9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preferred stock warrants</w:t>
            </w:r>
          </w:p>
        </w:tc>
      </w:tr>
      <w:tr>
        <w:trPr>
          <w:trHeight w:val="185"/>
        </w:trPr>
        <w:tc>
          <w:tcPr>
            <w:tcW w:w="9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liabilities</w:t>
            </w:r>
          </w:p>
        </w:tc>
      </w:tr>
      <w:tr>
        <w:trPr>
          <w:trHeight w:val="210"/>
        </w:trPr>
        <w:tc>
          <w:tcPr>
            <w:tcW w:w="9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 December 31, 2020</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100" w:type="dxa"/>
            <w:vAlign w:val="bottom"/>
            <w:shd w:val="clear" w:color="auto" w:fill="CFF0FC"/>
          </w:tcPr>
          <w:p>
            <w:pPr>
              <w:spacing w:after="0"/>
              <w:rPr>
                <w:sz w:val="18"/>
                <w:szCs w:val="18"/>
                <w:color w:val="auto"/>
              </w:rPr>
            </w:pPr>
          </w:p>
        </w:tc>
      </w:tr>
      <w:tr>
        <w:trPr>
          <w:trHeight w:val="216"/>
        </w:trPr>
        <w:tc>
          <w:tcPr>
            <w:tcW w:w="9140" w:type="dxa"/>
            <w:vAlign w:val="bottom"/>
          </w:tcPr>
          <w:p>
            <w:pPr>
              <w:ind w:left="20"/>
              <w:spacing w:after="0"/>
              <w:rPr>
                <w:sz w:val="20"/>
                <w:szCs w:val="20"/>
                <w:color w:val="auto"/>
              </w:rPr>
            </w:pPr>
            <w:r>
              <w:rPr>
                <w:rFonts w:ascii="Arial" w:cs="Arial" w:eastAsia="Arial" w:hAnsi="Arial"/>
                <w:sz w:val="18"/>
                <w:szCs w:val="18"/>
                <w:color w:val="auto"/>
              </w:rPr>
              <w:t>Change in fair value</w:t>
            </w:r>
          </w:p>
        </w:tc>
        <w:tc>
          <w:tcPr>
            <w:tcW w:w="160" w:type="dxa"/>
            <w:vAlign w:val="bottom"/>
          </w:tcPr>
          <w:p>
            <w:pPr>
              <w:spacing w:after="0"/>
              <w:rPr>
                <w:sz w:val="18"/>
                <w:szCs w:val="18"/>
                <w:color w:val="auto"/>
              </w:rPr>
            </w:pP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rPr>
              <w:t>(555 )</w:t>
            </w:r>
          </w:p>
        </w:tc>
      </w:tr>
      <w:tr>
        <w:trPr>
          <w:trHeight w:val="209"/>
        </w:trPr>
        <w:tc>
          <w:tcPr>
            <w:tcW w:w="9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 March 31, 2021</w:t>
            </w:r>
          </w:p>
        </w:tc>
        <w:tc>
          <w:tcPr>
            <w:tcW w:w="160" w:type="dxa"/>
            <w:vAlign w:val="bottom"/>
            <w:tcBorders>
              <w:top w:val="single" w:sz="8" w:color="auto"/>
            </w:tcBorders>
            <w:shd w:val="clear" w:color="auto" w:fill="CFF0FC"/>
          </w:tcPr>
          <w:p>
            <w:pPr>
              <w:spacing w:after="0"/>
              <w:rPr>
                <w:sz w:val="18"/>
                <w:szCs w:val="18"/>
                <w:color w:val="auto"/>
              </w:rPr>
            </w:pP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1,557</w:t>
            </w:r>
          </w:p>
        </w:tc>
        <w:tc>
          <w:tcPr>
            <w:tcW w:w="100" w:type="dxa"/>
            <w:vAlign w:val="bottom"/>
            <w:shd w:val="clear" w:color="auto" w:fill="CFF0FC"/>
          </w:tcPr>
          <w:p>
            <w:pPr>
              <w:spacing w:after="0"/>
              <w:rPr>
                <w:sz w:val="18"/>
                <w:szCs w:val="18"/>
                <w:color w:val="auto"/>
              </w:rPr>
            </w:pPr>
          </w:p>
        </w:tc>
      </w:tr>
      <w:tr>
        <w:trPr>
          <w:trHeight w:val="216"/>
        </w:trPr>
        <w:tc>
          <w:tcPr>
            <w:tcW w:w="9140" w:type="dxa"/>
            <w:vAlign w:val="bottom"/>
          </w:tcPr>
          <w:p>
            <w:pPr>
              <w:ind w:left="20"/>
              <w:spacing w:after="0"/>
              <w:rPr>
                <w:sz w:val="20"/>
                <w:szCs w:val="20"/>
                <w:color w:val="auto"/>
              </w:rPr>
            </w:pPr>
            <w:r>
              <w:rPr>
                <w:rFonts w:ascii="Arial" w:cs="Arial" w:eastAsia="Arial" w:hAnsi="Arial"/>
                <w:sz w:val="18"/>
                <w:szCs w:val="18"/>
                <w:color w:val="auto"/>
              </w:rPr>
              <w:t>Change in fair value</w:t>
            </w: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5,427</w:t>
            </w:r>
          </w:p>
        </w:tc>
        <w:tc>
          <w:tcPr>
            <w:tcW w:w="100" w:type="dxa"/>
            <w:vAlign w:val="bottom"/>
          </w:tcPr>
          <w:p>
            <w:pPr>
              <w:spacing w:after="0"/>
              <w:rPr>
                <w:sz w:val="18"/>
                <w:szCs w:val="18"/>
                <w:color w:val="auto"/>
              </w:rPr>
            </w:pPr>
          </w:p>
        </w:tc>
      </w:tr>
      <w:tr>
        <w:trPr>
          <w:trHeight w:val="249"/>
        </w:trPr>
        <w:tc>
          <w:tcPr>
            <w:tcW w:w="9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 June 30, 2021</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The financial statements as of June 30, 2022 and December 31, 2021, do not include any assets or liabilities that are measured at fair value on a nonrecurring basis.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Property and Equipment,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As of June 30,</w:t>
            </w:r>
          </w:p>
        </w:tc>
        <w:tc>
          <w:tcPr>
            <w:tcW w:w="200" w:type="dxa"/>
            <w:vAlign w:val="bottom"/>
          </w:tcPr>
          <w:p>
            <w:pPr>
              <w:spacing w:after="0"/>
              <w:rPr>
                <w:sz w:val="15"/>
                <w:szCs w:val="15"/>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As of December 31,</w:t>
            </w:r>
          </w:p>
        </w:tc>
      </w:tr>
      <w:tr>
        <w:trPr>
          <w:trHeight w:val="185"/>
        </w:trPr>
        <w:tc>
          <w:tcPr>
            <w:tcW w:w="7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Tools and equipment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CFF0FC"/>
          </w:tcPr>
          <w:p>
            <w:pPr>
              <w:spacing w:after="0"/>
              <w:rPr>
                <w:sz w:val="18"/>
                <w:szCs w:val="18"/>
                <w:color w:val="auto"/>
              </w:rPr>
            </w:pPr>
          </w:p>
        </w:tc>
      </w:tr>
      <w:tr>
        <w:trPr>
          <w:trHeight w:val="216"/>
        </w:trPr>
        <w:tc>
          <w:tcPr>
            <w:tcW w:w="722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r>
      <w:tr>
        <w:trPr>
          <w:trHeight w:val="216"/>
        </w:trPr>
        <w:tc>
          <w:tcPr>
            <w:tcW w:w="7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FF0FC"/>
          </w:tcPr>
          <w:p>
            <w:pPr>
              <w:spacing w:after="0"/>
              <w:rPr>
                <w:sz w:val="18"/>
                <w:szCs w:val="18"/>
                <w:color w:val="auto"/>
              </w:rPr>
            </w:pPr>
          </w:p>
        </w:tc>
      </w:tr>
      <w:tr>
        <w:trPr>
          <w:trHeight w:val="216"/>
        </w:trPr>
        <w:tc>
          <w:tcPr>
            <w:tcW w:w="72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r>
      <w:tr>
        <w:trPr>
          <w:trHeight w:val="216"/>
        </w:trPr>
        <w:tc>
          <w:tcPr>
            <w:tcW w:w="7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Construction in process</w:t>
            </w:r>
          </w:p>
        </w:tc>
        <w:tc>
          <w:tcPr>
            <w:tcW w:w="3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3,258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2,658</w:t>
            </w:r>
          </w:p>
        </w:tc>
        <w:tc>
          <w:tcPr>
            <w:tcW w:w="100" w:type="dxa"/>
            <w:vAlign w:val="bottom"/>
          </w:tcPr>
          <w:p>
            <w:pPr>
              <w:spacing w:after="0"/>
              <w:rPr>
                <w:sz w:val="18"/>
                <w:szCs w:val="18"/>
                <w:color w:val="auto"/>
              </w:rPr>
            </w:pPr>
          </w:p>
        </w:tc>
      </w:tr>
      <w:tr>
        <w:trPr>
          <w:trHeight w:val="216"/>
        </w:trPr>
        <w:tc>
          <w:tcPr>
            <w:tcW w:w="7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(1,541 )</w:t>
            </w:r>
          </w:p>
        </w:tc>
        <w:tc>
          <w:tcPr>
            <w:tcW w:w="2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(1,204 )</w:t>
            </w:r>
          </w:p>
        </w:tc>
      </w:tr>
      <w:tr>
        <w:trPr>
          <w:trHeight w:val="210"/>
        </w:trPr>
        <w:tc>
          <w:tcPr>
            <w:tcW w:w="722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1,717</w:t>
            </w: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Borders>
              <w:top w:val="single" w:sz="8" w:color="CFF0FC"/>
            </w:tcBorders>
          </w:tcPr>
          <w:p>
            <w:pPr>
              <w:spacing w:after="0"/>
              <w:rPr>
                <w:sz w:val="18"/>
                <w:szCs w:val="18"/>
                <w:color w:val="auto"/>
              </w:rPr>
            </w:pPr>
          </w:p>
        </w:tc>
      </w:tr>
      <w:tr>
        <w:trPr>
          <w:trHeight w:val="20"/>
        </w:trPr>
        <w:tc>
          <w:tcPr>
            <w:tcW w:w="7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-453390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-170815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6"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Depreciation expense was $0.2 million and $0.4 million for the three and six months ended June 30, 2022, respectively. Depreciation expense was $0.2 million and $0.3 for the three and six months ended June 30, 2021, respectively.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Accrued and Other Current Liabilities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As of June 30,</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ind w:right="315"/>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15"/>
                <w:szCs w:val="15"/>
                <w:color w:val="auto"/>
              </w:rPr>
            </w:pPr>
          </w:p>
        </w:tc>
      </w:tr>
      <w:tr>
        <w:trPr>
          <w:trHeight w:val="185"/>
        </w:trPr>
        <w:tc>
          <w:tcPr>
            <w:tcW w:w="7180" w:type="dxa"/>
            <w:vAlign w:val="bottom"/>
          </w:tcPr>
          <w:p>
            <w:pPr>
              <w:spacing w:after="0"/>
              <w:rPr>
                <w:sz w:val="16"/>
                <w:szCs w:val="16"/>
                <w:color w:val="auto"/>
              </w:rPr>
            </w:pPr>
          </w:p>
        </w:tc>
        <w:tc>
          <w:tcPr>
            <w:tcW w:w="13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w:t>
            </w:r>
          </w:p>
        </w:tc>
        <w:tc>
          <w:tcPr>
            <w:tcW w:w="1320" w:type="dxa"/>
            <w:vAlign w:val="bottom"/>
            <w:shd w:val="clear" w:color="auto" w:fill="CFF0FC"/>
          </w:tcPr>
          <w:p>
            <w:pPr>
              <w:jc w:val="right"/>
              <w:ind w:right="111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3,525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2,726</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
              <w:spacing w:after="0"/>
              <w:rPr>
                <w:sz w:val="20"/>
                <w:szCs w:val="20"/>
                <w:color w:val="auto"/>
              </w:rPr>
            </w:pPr>
            <w:r>
              <w:rPr>
                <w:rFonts w:ascii="Arial" w:cs="Arial" w:eastAsia="Arial" w:hAnsi="Arial"/>
                <w:sz w:val="18"/>
                <w:szCs w:val="18"/>
                <w:color w:val="auto"/>
              </w:rPr>
              <w:t>Current portion of lease liabilities</w:t>
            </w:r>
          </w:p>
        </w:tc>
        <w:tc>
          <w:tcPr>
            <w:tcW w:w="1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 term interest payable</w:t>
            </w:r>
          </w:p>
        </w:tc>
        <w:tc>
          <w:tcPr>
            <w:tcW w:w="13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13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8"/>
                <w:szCs w:val="18"/>
                <w:color w:val="auto"/>
              </w:rPr>
            </w:pPr>
          </w:p>
        </w:tc>
      </w:tr>
      <w:tr>
        <w:trPr>
          <w:trHeight w:val="249"/>
        </w:trPr>
        <w:tc>
          <w:tcPr>
            <w:tcW w:w="7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accrued and other current liabilities</w:t>
            </w:r>
          </w:p>
        </w:tc>
        <w:tc>
          <w:tcPr>
            <w:tcW w:w="1320" w:type="dxa"/>
            <w:vAlign w:val="bottom"/>
            <w:tcBorders>
              <w:bottom w:val="single" w:sz="8" w:color="auto"/>
            </w:tcBorders>
            <w:shd w:val="clear" w:color="auto" w:fill="CFF0FC"/>
          </w:tcPr>
          <w:p>
            <w:pPr>
              <w:jc w:val="right"/>
              <w:ind w:right="111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5,186</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-25400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231F20"/>
        </w:rPr>
        <w:t>Other Noncurrent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noncurrent liabilities consist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276"/>
              <w:spacing w:after="0"/>
              <w:rPr>
                <w:sz w:val="20"/>
                <w:szCs w:val="20"/>
                <w:color w:val="auto"/>
              </w:rPr>
            </w:pPr>
            <w:r>
              <w:rPr>
                <w:rFonts w:ascii="Arial" w:cs="Arial" w:eastAsia="Arial" w:hAnsi="Arial"/>
                <w:sz w:val="14"/>
                <w:szCs w:val="14"/>
                <w:b w:val="1"/>
                <w:bCs w:val="1"/>
                <w:color w:val="auto"/>
              </w:rPr>
              <w:t>As of June 30,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jc w:val="right"/>
              <w:ind w:right="316"/>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15"/>
                <w:szCs w:val="15"/>
                <w:color w:val="auto"/>
              </w:rPr>
            </w:pPr>
          </w:p>
        </w:tc>
      </w:tr>
      <w:tr>
        <w:trPr>
          <w:trHeight w:val="185"/>
        </w:trPr>
        <w:tc>
          <w:tcPr>
            <w:tcW w:w="7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portion of lease liabilities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
              <w:spacing w:after="0"/>
              <w:rPr>
                <w:sz w:val="20"/>
                <w:szCs w:val="20"/>
                <w:color w:val="auto"/>
              </w:rPr>
            </w:pPr>
            <w:r>
              <w:rPr>
                <w:rFonts w:ascii="Arial" w:cs="Arial" w:eastAsia="Arial" w:hAnsi="Arial"/>
                <w:sz w:val="18"/>
                <w:szCs w:val="18"/>
                <w:color w:val="auto"/>
              </w:rPr>
              <w:t>Long term interest payable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18"/>
                <w:szCs w:val="18"/>
                <w:color w:val="auto"/>
              </w:rPr>
            </w:pPr>
          </w:p>
        </w:tc>
      </w:tr>
      <w:tr>
        <w:trPr>
          <w:trHeight w:val="216"/>
        </w:trPr>
        <w:tc>
          <w:tcPr>
            <w:tcW w:w="7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40" w:type="dxa"/>
            <w:vAlign w:val="bottom"/>
          </w:tcPr>
          <w:p>
            <w:pPr>
              <w:ind w:left="200"/>
              <w:spacing w:after="0"/>
              <w:rPr>
                <w:sz w:val="20"/>
                <w:szCs w:val="20"/>
                <w:color w:val="auto"/>
              </w:rPr>
            </w:pPr>
            <w:r>
              <w:rPr>
                <w:rFonts w:ascii="Arial" w:cs="Arial" w:eastAsia="Arial" w:hAnsi="Arial"/>
                <w:sz w:val="18"/>
                <w:szCs w:val="18"/>
                <w:color w:val="auto"/>
              </w:rPr>
              <w:t>Total other noncurrent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1,809</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18"/>
                <w:szCs w:val="18"/>
                <w:color w:val="auto"/>
              </w:rPr>
            </w:pPr>
          </w:p>
        </w:tc>
      </w:tr>
      <w:tr>
        <w:trPr>
          <w:trHeight w:val="20"/>
        </w:trPr>
        <w:tc>
          <w:tcPr>
            <w:tcW w:w="7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-170815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w:t>
      </w:r>
    </w:p>
    <w:p>
      <w:pPr>
        <w:spacing w:after="0" w:line="121" w:lineRule="exact"/>
        <w:rPr>
          <w:sz w:val="20"/>
          <w:szCs w:val="20"/>
          <w:color w:val="auto"/>
        </w:rPr>
      </w:pPr>
    </w:p>
    <w:p>
      <w:pPr>
        <w:ind w:right="100" w:firstLine="509"/>
        <w:spacing w:after="0" w:line="260" w:lineRule="auto"/>
        <w:rPr>
          <w:sz w:val="20"/>
          <w:szCs w:val="20"/>
          <w:color w:val="auto"/>
        </w:rPr>
      </w:pPr>
      <w:r>
        <w:rPr>
          <w:rFonts w:ascii="Arial" w:cs="Arial" w:eastAsia="Arial" w:hAnsi="Arial"/>
          <w:sz w:val="17"/>
          <w:szCs w:val="17"/>
          <w:color w:val="auto"/>
        </w:rPr>
        <w:t>In January 2019, the Company entered into credit and security agreements with MidCap Financial Services (the "Lender"), which provided a maximum of $25.0 million credit facility consisting of a $20.0 million senior secured term loan (the "2019 Term Loan") and a $5.0 million 2019 revolving loan (the "2019 Revolver" and collectively with the 2019 Term Loan, the “2019 MidCap Credit Facility”). In November 2020, the Company entered into amended and restated credit and security agreements with the same institution, which replaced the 2019 MidCap Credit Facility, and provided for a maximum of $40.0 million credit facility consisting of a $35.0 million senior secured term loan (the "2020 Term Loan") and a $5.0 million revolving loan (the "2020 Revolver and collectively with the 2020 Term Loan, the “2020 MidCap Credit Facility”).</w:t>
      </w:r>
    </w:p>
    <w:p>
      <w:pPr>
        <w:spacing w:after="0" w:line="66" w:lineRule="exact"/>
        <w:rPr>
          <w:sz w:val="20"/>
          <w:szCs w:val="20"/>
          <w:color w:val="auto"/>
        </w:rPr>
      </w:pPr>
    </w:p>
    <w:p>
      <w:pPr>
        <w:ind w:right="20" w:firstLine="509"/>
        <w:spacing w:after="0" w:line="280" w:lineRule="auto"/>
        <w:rPr>
          <w:sz w:val="20"/>
          <w:szCs w:val="20"/>
          <w:color w:val="auto"/>
        </w:rPr>
      </w:pPr>
      <w:r>
        <w:rPr>
          <w:rFonts w:ascii="Arial" w:cs="Arial" w:eastAsia="Arial" w:hAnsi="Arial"/>
          <w:sz w:val="16"/>
          <w:szCs w:val="16"/>
          <w:color w:val="231F20"/>
        </w:rPr>
        <w:t>The obligations under the MidCap Credit Facility are guaranteed by the Company's current and future subsidiaries, subject to exceptions for certain foreign subsidiaries. Obligations under the agreements are secured by substantially all assets of the Company, including material intellectual property. Additionally, the Company is subject to customary affirmative and negative covenants as defined in the credit agreements, including covenants that limit or restrict the ability to, among other things, incur indebtedness, grant liens, merge or consolidate, make investments, dispose of assets, make acquisitions, pay dividends or make distributions, repurchase stock and enter into certain transactions with affiliates, in each case subject to certain exceptions. The agreements also have financial covenants that relate to minimum trailing revenue targets, which began in November 2020, and are tested on a monthly basis. As of June 30, 2022, the Company was in compliance with all financial and non-financial covenants.</w:t>
      </w:r>
    </w:p>
    <w:p>
      <w:pPr>
        <w:spacing w:after="0" w:line="63"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231F20"/>
        </w:rPr>
        <w:t>The MidCap Credit Facility agreements each contain events of default that include, among others, non-payment of principal, interest or fees, breach of covenants, inaccuracy of representations and warranties, cross-defaults and bankruptcy and insolvency events.</w:t>
      </w:r>
    </w:p>
    <w:p>
      <w:pPr>
        <w:spacing w:after="0" w:line="63" w:lineRule="exact"/>
        <w:rPr>
          <w:sz w:val="20"/>
          <w:szCs w:val="20"/>
          <w:color w:val="auto"/>
        </w:rPr>
      </w:pPr>
    </w:p>
    <w:p>
      <w:pPr>
        <w:ind w:right="80" w:firstLine="509"/>
        <w:spacing w:after="0" w:line="308" w:lineRule="auto"/>
        <w:rPr>
          <w:sz w:val="20"/>
          <w:szCs w:val="20"/>
          <w:color w:val="auto"/>
        </w:rPr>
      </w:pPr>
      <w:r>
        <w:rPr>
          <w:rFonts w:ascii="Arial" w:cs="Arial" w:eastAsia="Arial" w:hAnsi="Arial"/>
          <w:sz w:val="17"/>
          <w:szCs w:val="17"/>
          <w:color w:val="auto"/>
        </w:rPr>
        <w:t>As of June 30, 2022 and December 31, 2021, $5.0 million was available to be drawn under the 2020 Revolver, respectively. The 2020 Revolver had not been drawn upon as of June 30, 2022 and December 31, 2021. Long-term and short-term debt was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2"/>
          </w:tcPr>
          <w:p>
            <w:pPr>
              <w:jc w:val="right"/>
              <w:ind w:right="610"/>
              <w:spacing w:after="0"/>
              <w:rPr>
                <w:sz w:val="20"/>
                <w:szCs w:val="20"/>
                <w:color w:val="auto"/>
              </w:rPr>
            </w:pPr>
            <w:r>
              <w:rPr>
                <w:rFonts w:ascii="Arial" w:cs="Arial" w:eastAsia="Arial" w:hAnsi="Arial"/>
                <w:sz w:val="14"/>
                <w:szCs w:val="14"/>
                <w:b w:val="1"/>
                <w:bCs w:val="1"/>
                <w:color w:val="auto"/>
              </w:rPr>
              <w:t>As of June 30,</w:t>
            </w:r>
          </w:p>
        </w:tc>
        <w:tc>
          <w:tcPr>
            <w:tcW w:w="220" w:type="dxa"/>
            <w:vAlign w:val="bottom"/>
          </w:tcPr>
          <w:p>
            <w:pPr>
              <w:spacing w:after="0"/>
              <w:rPr>
                <w:sz w:val="15"/>
                <w:szCs w:val="15"/>
                <w:color w:val="auto"/>
              </w:rPr>
            </w:pPr>
          </w:p>
        </w:tc>
        <w:tc>
          <w:tcPr>
            <w:tcW w:w="1720" w:type="dxa"/>
            <w:vAlign w:val="bottom"/>
            <w:gridSpan w:val="2"/>
          </w:tcPr>
          <w:p>
            <w:pPr>
              <w:jc w:val="right"/>
              <w:ind w:right="341"/>
              <w:spacing w:after="0"/>
              <w:rPr>
                <w:sz w:val="20"/>
                <w:szCs w:val="20"/>
                <w:color w:val="auto"/>
              </w:rPr>
            </w:pPr>
            <w:r>
              <w:rPr>
                <w:rFonts w:ascii="Arial" w:cs="Arial" w:eastAsia="Arial" w:hAnsi="Arial"/>
                <w:sz w:val="14"/>
                <w:szCs w:val="14"/>
                <w:b w:val="1"/>
                <w:bCs w:val="1"/>
                <w:color w:val="auto"/>
                <w:w w:val="98"/>
              </w:rPr>
              <w:t>As of December 31,</w:t>
            </w:r>
          </w:p>
        </w:tc>
        <w:tc>
          <w:tcPr>
            <w:tcW w:w="0" w:type="dxa"/>
            <w:vAlign w:val="bottom"/>
          </w:tcPr>
          <w:p>
            <w:pPr>
              <w:spacing w:after="0"/>
              <w:rPr>
                <w:sz w:val="1"/>
                <w:szCs w:val="1"/>
                <w:color w:val="auto"/>
              </w:rPr>
            </w:pPr>
          </w:p>
        </w:tc>
      </w:tr>
      <w:tr>
        <w:trPr>
          <w:trHeight w:val="185"/>
        </w:trPr>
        <w:tc>
          <w:tcPr>
            <w:tcW w:w="5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Term Loan</w:t>
            </w:r>
          </w:p>
        </w:tc>
        <w:tc>
          <w:tcPr>
            <w:tcW w:w="2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Arial" w:cs="Arial" w:eastAsia="Arial" w:hAnsi="Arial"/>
                <w:sz w:val="18"/>
                <w:szCs w:val="18"/>
                <w:color w:val="auto"/>
              </w:rPr>
              <w:t>Total principal payments due</w:t>
            </w:r>
          </w:p>
        </w:tc>
        <w:tc>
          <w:tcPr>
            <w:tcW w:w="2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8"/>
              </w:rPr>
              <w:t>Less: debt discount related to warrant liability and issuance costs</w:t>
            </w:r>
          </w:p>
        </w:tc>
        <w:tc>
          <w:tcPr>
            <w:tcW w:w="2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Total amounts outstanding</w:t>
            </w:r>
          </w:p>
        </w:tc>
        <w:tc>
          <w:tcPr>
            <w:tcW w:w="2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32,984</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Current portion</w:t>
            </w:r>
          </w:p>
        </w:tc>
        <w:tc>
          <w:tcPr>
            <w:tcW w:w="2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Arial" w:cs="Arial" w:eastAsia="Arial" w:hAnsi="Arial"/>
                <w:sz w:val="18"/>
                <w:szCs w:val="18"/>
                <w:color w:val="auto"/>
              </w:rPr>
              <w:t>Total accrued and other current liabilities</w:t>
            </w:r>
          </w:p>
        </w:tc>
        <w:tc>
          <w:tcPr>
            <w:tcW w:w="2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32,984</w:t>
            </w:r>
          </w:p>
        </w:tc>
        <w:tc>
          <w:tcPr>
            <w:tcW w:w="28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32,656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00" w:type="dxa"/>
            <w:vAlign w:val="bottom"/>
            <w:vMerge w:val="restart"/>
          </w:tcPr>
          <w:p>
            <w:pPr>
              <w:jc w:val="right"/>
              <w:ind w:right="1510"/>
              <w:spacing w:after="0"/>
              <w:rPr>
                <w:sz w:val="20"/>
                <w:szCs w:val="20"/>
                <w:color w:val="auto"/>
              </w:rPr>
            </w:pPr>
            <w:r>
              <w:rPr>
                <w:rFonts w:ascii="Arial" w:cs="Arial" w:eastAsia="Arial" w:hAnsi="Arial"/>
                <w:sz w:val="18"/>
                <w:szCs w:val="18"/>
                <w:color w:val="auto"/>
              </w:rPr>
              <w:t>14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12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120" w:type="dxa"/>
            <w:vAlign w:val="bottom"/>
            <w:tcBorders>
              <w:bottom w:val="single" w:sz="8" w:color="9A9A9A"/>
            </w:tcBorders>
          </w:tcPr>
          <w:p>
            <w:pPr>
              <w:spacing w:after="0"/>
              <w:rPr>
                <w:sz w:val="8"/>
                <w:szCs w:val="8"/>
                <w:color w:val="auto"/>
              </w:rPr>
            </w:pPr>
          </w:p>
        </w:tc>
        <w:tc>
          <w:tcPr>
            <w:tcW w:w="2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-1224915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-650875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The repayment schedule relating to the Company’s debt as of June 30, 2022, is as follows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r>
      <w:tr>
        <w:trPr>
          <w:trHeight w:val="210"/>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 (remainder)</w:t>
            </w: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2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20"/>
              <w:spacing w:after="0"/>
              <w:rPr>
                <w:sz w:val="20"/>
                <w:szCs w:val="20"/>
                <w:color w:val="auto"/>
              </w:rPr>
            </w:pPr>
            <w:r>
              <w:rPr>
                <w:rFonts w:ascii="Arial" w:cs="Arial" w:eastAsia="Arial" w:hAnsi="Arial"/>
                <w:sz w:val="18"/>
                <w:szCs w:val="18"/>
                <w:color w:val="auto"/>
              </w:rPr>
              <w:t>2025</w:t>
            </w:r>
          </w:p>
        </w:tc>
        <w:tc>
          <w:tcPr>
            <w:tcW w:w="4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16,042</w:t>
            </w:r>
          </w:p>
        </w:tc>
        <w:tc>
          <w:tcPr>
            <w:tcW w:w="100" w:type="dxa"/>
            <w:vAlign w:val="bottom"/>
          </w:tcPr>
          <w:p>
            <w:pPr>
              <w:spacing w:after="0"/>
              <w:rPr>
                <w:sz w:val="18"/>
                <w:szCs w:val="18"/>
                <w:color w:val="auto"/>
              </w:rPr>
            </w:pPr>
          </w:p>
        </w:tc>
      </w:tr>
      <w:tr>
        <w:trPr>
          <w:trHeight w:val="216"/>
        </w:trPr>
        <w:tc>
          <w:tcPr>
            <w:tcW w:w="9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260" w:type="dxa"/>
            <w:vAlign w:val="bottom"/>
          </w:tcPr>
          <w:p>
            <w:pPr>
              <w:ind w:left="20"/>
              <w:spacing w:after="0"/>
              <w:rPr>
                <w:sz w:val="20"/>
                <w:szCs w:val="20"/>
                <w:color w:val="auto"/>
              </w:rPr>
            </w:pPr>
            <w:r>
              <w:rPr>
                <w:rFonts w:ascii="Arial" w:cs="Arial" w:eastAsia="Arial" w:hAnsi="Arial"/>
                <w:sz w:val="18"/>
                <w:szCs w:val="18"/>
                <w:color w:val="auto"/>
              </w:rPr>
              <w:t>Total repayments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Obligations</w:t>
      </w:r>
    </w:p>
    <w:p>
      <w:pPr>
        <w:spacing w:after="0" w:line="117"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Company’s leases mainly include facility leases and storage leases. In determining the present value of lease payments, the Company uses its incremental borrowing rate based on the information available at the lease commencement date if the rate implicit in the lease is not readily determinable. The Company estimates its incremental borrowing rate based on qualitative factors including company specific credit offers, lease term, general economics, and the interest rate environment.</w:t>
      </w:r>
    </w:p>
    <w:p>
      <w:pPr>
        <w:spacing w:after="0" w:line="93" w:lineRule="exact"/>
        <w:rPr>
          <w:sz w:val="20"/>
          <w:szCs w:val="20"/>
          <w:color w:val="auto"/>
        </w:rPr>
      </w:pPr>
    </w:p>
    <w:p>
      <w:pPr>
        <w:ind w:right="160" w:firstLine="509"/>
        <w:spacing w:after="0" w:line="245" w:lineRule="auto"/>
        <w:rPr>
          <w:sz w:val="20"/>
          <w:szCs w:val="20"/>
          <w:color w:val="auto"/>
        </w:rPr>
      </w:pPr>
      <w:r>
        <w:rPr>
          <w:rFonts w:ascii="Arial" w:cs="Arial" w:eastAsia="Arial" w:hAnsi="Arial"/>
          <w:sz w:val="18"/>
          <w:szCs w:val="18"/>
          <w:color w:val="auto"/>
        </w:rPr>
        <w:t>On February 5, 2021, the Company renewed the lease of the corporate headquarters in Menlo Park, California. The lease is a noncancelable operating lease for approximately 10,823 square feet of primary office space. The operating lease commenced on August 1, 2021 and is for a term of 37 months from the commencement date. The Company recorded an aggregate right-of-use ("ROU") asset and lease liability of $1.5 million. The ROU asset and corresponding lease liability were estimated using a weighted-average incremental borrowing rate of 13.59%. Total base rent is approximately $1.6 million under the lease agreement.</w:t>
      </w:r>
    </w:p>
    <w:p>
      <w:pPr>
        <w:spacing w:after="0" w:line="186" w:lineRule="exact"/>
        <w:rPr>
          <w:sz w:val="20"/>
          <w:szCs w:val="20"/>
          <w:color w:val="auto"/>
        </w:rPr>
      </w:pPr>
    </w:p>
    <w:p>
      <w:pPr>
        <w:jc w:val="both"/>
        <w:ind w:right="40" w:firstLine="509"/>
        <w:spacing w:after="0" w:line="278" w:lineRule="auto"/>
        <w:rPr>
          <w:sz w:val="20"/>
          <w:szCs w:val="20"/>
          <w:color w:val="auto"/>
        </w:rPr>
      </w:pPr>
      <w:r>
        <w:rPr>
          <w:rFonts w:ascii="Arial" w:cs="Arial" w:eastAsia="Arial" w:hAnsi="Arial"/>
          <w:sz w:val="17"/>
          <w:szCs w:val="17"/>
          <w:color w:val="auto"/>
        </w:rPr>
        <w:t>The Company recognizes rent expense on a straight-line basis over the noncancelable lease term. The Company’s rent expense was $0.3 million and $0.4 million for the six months ended June 30, 2022 and 2021, respectively. The Company’s rent expense was $0.2 million for both the three months ended June 30, 2022 and 2021, respectively. As of June 30, 2022, the remaining lease term for the lease was 2.1 years.</w:t>
      </w:r>
    </w:p>
    <w:p>
      <w:pPr>
        <w:spacing w:after="0" w:line="158"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Operating lease expense and supplemental cash flow information related to operating leases for the three and six months ended June 30, 2022 and 2021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180" w:type="dxa"/>
            <w:vAlign w:val="bottom"/>
            <w:gridSpan w:val="4"/>
          </w:tcPr>
          <w:p>
            <w:pPr>
              <w:jc w:val="center"/>
              <w:ind w:left="242"/>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4"/>
          </w:tcPr>
          <w:p>
            <w:pPr>
              <w:jc w:val="center"/>
              <w:ind w:right="215"/>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14"/>
                <w:szCs w:val="14"/>
                <w:color w:val="auto"/>
              </w:rPr>
            </w:pPr>
          </w:p>
        </w:tc>
      </w:tr>
      <w:tr>
        <w:trPr>
          <w:trHeight w:val="185"/>
        </w:trPr>
        <w:tc>
          <w:tcPr>
            <w:tcW w:w="4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4"/>
                <w:szCs w:val="14"/>
                <w:b w:val="1"/>
                <w:bCs w:val="1"/>
                <w:color w:val="auto"/>
                <w:w w:val="92"/>
              </w:rPr>
              <w:t>June 30,</w:t>
            </w:r>
          </w:p>
        </w:tc>
        <w:tc>
          <w:tcPr>
            <w:tcW w:w="3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519"/>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80" w:type="dxa"/>
            <w:vAlign w:val="bottom"/>
          </w:tcPr>
          <w:p>
            <w:pPr>
              <w:jc w:val="right"/>
              <w:ind w:right="2"/>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expense</w:t>
            </w:r>
          </w:p>
        </w:tc>
        <w:tc>
          <w:tcPr>
            <w:tcW w:w="124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ind w:right="602"/>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6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2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auto"/>
              </w:rPr>
              <w:t>Cash paid for operating leases</w:t>
            </w: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171</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8"/>
                <w:szCs w:val="18"/>
                <w:color w:val="auto"/>
              </w:rPr>
            </w:pPr>
          </w:p>
        </w:tc>
      </w:tr>
      <w:tr>
        <w:trPr>
          <w:trHeight w:val="175"/>
        </w:trPr>
        <w:tc>
          <w:tcPr>
            <w:tcW w:w="466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New operating lease assets obtained in exchange for</w:t>
            </w:r>
          </w:p>
        </w:tc>
        <w:tc>
          <w:tcPr>
            <w:tcW w:w="1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46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operating lease liabilities</w:t>
            </w:r>
          </w:p>
        </w:tc>
        <w:tc>
          <w:tcPr>
            <w:tcW w:w="1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20"/>
                <w:szCs w:val="20"/>
                <w:color w:val="auto"/>
              </w:rPr>
            </w:pPr>
          </w:p>
        </w:tc>
      </w:tr>
      <w:tr>
        <w:trPr>
          <w:trHeight w:val="837"/>
        </w:trPr>
        <w:tc>
          <w:tcPr>
            <w:tcW w:w="4660" w:type="dxa"/>
            <w:vAlign w:val="bottom"/>
          </w:tcPr>
          <w:p>
            <w:pPr>
              <w:spacing w:after="0"/>
              <w:rPr>
                <w:sz w:val="24"/>
                <w:szCs w:val="24"/>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66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7"/>
          <w:szCs w:val="17"/>
          <w:color w:val="auto"/>
        </w:rPr>
        <w:t>Aggregate future minimum lease payments at June 30, 2022, under these noncancelable operating leases were as follows (in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As of June 30,</w:t>
            </w:r>
          </w:p>
        </w:tc>
      </w:tr>
      <w:tr>
        <w:trPr>
          <w:trHeight w:val="185"/>
        </w:trPr>
        <w:tc>
          <w:tcPr>
            <w:tcW w:w="9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r>
      <w:tr>
        <w:trPr>
          <w:trHeight w:val="209"/>
        </w:trPr>
        <w:tc>
          <w:tcPr>
            <w:tcW w:w="9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 (remainder)</w:t>
            </w:r>
          </w:p>
        </w:tc>
        <w:tc>
          <w:tcPr>
            <w:tcW w:w="3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FF0FC"/>
          </w:tcPr>
          <w:p>
            <w:pPr>
              <w:spacing w:after="0"/>
              <w:rPr>
                <w:sz w:val="18"/>
                <w:szCs w:val="18"/>
                <w:color w:val="auto"/>
              </w:rPr>
            </w:pPr>
          </w:p>
        </w:tc>
      </w:tr>
      <w:tr>
        <w:trPr>
          <w:trHeight w:val="216"/>
        </w:trPr>
        <w:tc>
          <w:tcPr>
            <w:tcW w:w="9020" w:type="dxa"/>
            <w:vAlign w:val="bottom"/>
          </w:tcPr>
          <w:p>
            <w:pPr>
              <w:ind w:left="20"/>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705</w:t>
            </w:r>
          </w:p>
        </w:tc>
        <w:tc>
          <w:tcPr>
            <w:tcW w:w="240" w:type="dxa"/>
            <w:vAlign w:val="bottom"/>
          </w:tcPr>
          <w:p>
            <w:pPr>
              <w:spacing w:after="0"/>
              <w:rPr>
                <w:sz w:val="18"/>
                <w:szCs w:val="18"/>
                <w:color w:val="auto"/>
              </w:rPr>
            </w:pPr>
          </w:p>
        </w:tc>
      </w:tr>
      <w:tr>
        <w:trPr>
          <w:trHeight w:val="216"/>
        </w:trPr>
        <w:tc>
          <w:tcPr>
            <w:tcW w:w="9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3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240" w:type="dxa"/>
            <w:vAlign w:val="bottom"/>
            <w:tcBorders>
              <w:bottom w:val="single" w:sz="8" w:color="CFF0FC"/>
            </w:tcBorders>
            <w:shd w:val="clear" w:color="auto" w:fill="CFF0FC"/>
          </w:tcPr>
          <w:p>
            <w:pPr>
              <w:spacing w:after="0"/>
              <w:rPr>
                <w:sz w:val="18"/>
                <w:szCs w:val="18"/>
                <w:color w:val="auto"/>
              </w:rPr>
            </w:pPr>
          </w:p>
        </w:tc>
      </w:tr>
      <w:tr>
        <w:trPr>
          <w:trHeight w:val="210"/>
        </w:trPr>
        <w:tc>
          <w:tcPr>
            <w:tcW w:w="9020" w:type="dxa"/>
            <w:vAlign w:val="bottom"/>
          </w:tcPr>
          <w:p>
            <w:pPr>
              <w:ind w:left="20"/>
              <w:spacing w:after="0"/>
              <w:rPr>
                <w:sz w:val="20"/>
                <w:szCs w:val="20"/>
                <w:color w:val="auto"/>
              </w:rPr>
            </w:pPr>
            <w:r>
              <w:rPr>
                <w:rFonts w:ascii="Arial" w:cs="Arial" w:eastAsia="Arial" w:hAnsi="Arial"/>
                <w:sz w:val="18"/>
                <w:szCs w:val="18"/>
                <w:color w:val="auto"/>
              </w:rPr>
              <w:t>Total future minimum lease payments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1,517</w:t>
            </w:r>
          </w:p>
        </w:tc>
        <w:tc>
          <w:tcPr>
            <w:tcW w:w="240" w:type="dxa"/>
            <w:vAlign w:val="bottom"/>
          </w:tcPr>
          <w:p>
            <w:pPr>
              <w:spacing w:after="0"/>
              <w:rPr>
                <w:sz w:val="18"/>
                <w:szCs w:val="18"/>
                <w:color w:val="auto"/>
              </w:rPr>
            </w:pPr>
          </w:p>
        </w:tc>
      </w:tr>
      <w:tr>
        <w:trPr>
          <w:trHeight w:val="216"/>
        </w:trPr>
        <w:tc>
          <w:tcPr>
            <w:tcW w:w="9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imputed interest</w:t>
            </w:r>
          </w:p>
        </w:tc>
        <w:tc>
          <w:tcPr>
            <w:tcW w:w="34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(208 )</w:t>
            </w:r>
          </w:p>
        </w:tc>
      </w:tr>
      <w:tr>
        <w:trPr>
          <w:trHeight w:val="209"/>
        </w:trPr>
        <w:tc>
          <w:tcPr>
            <w:tcW w:w="90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Present value of future minimum lease payments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240" w:type="dxa"/>
            <w:vAlign w:val="bottom"/>
            <w:tcBorders>
              <w:top w:val="single" w:sz="8" w:color="CFF0FC"/>
            </w:tcBorders>
          </w:tcPr>
          <w:p>
            <w:pPr>
              <w:spacing w:after="0"/>
              <w:rPr>
                <w:sz w:val="18"/>
                <w:szCs w:val="18"/>
                <w:color w:val="auto"/>
              </w:rPr>
            </w:pPr>
          </w:p>
        </w:tc>
      </w:tr>
      <w:tr>
        <w:trPr>
          <w:trHeight w:val="216"/>
        </w:trPr>
        <w:tc>
          <w:tcPr>
            <w:tcW w:w="9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current portion of operating lease liability</w:t>
            </w:r>
          </w:p>
        </w:tc>
        <w:tc>
          <w:tcPr>
            <w:tcW w:w="34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(556 )</w:t>
            </w:r>
          </w:p>
        </w:tc>
      </w:tr>
      <w:tr>
        <w:trPr>
          <w:trHeight w:val="210"/>
        </w:trPr>
        <w:tc>
          <w:tcPr>
            <w:tcW w:w="90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Operating lease liabilities - noncurrent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240" w:type="dxa"/>
            <w:vAlign w:val="bottom"/>
            <w:tcBorders>
              <w:top w:val="single" w:sz="8" w:color="CFF0FC"/>
            </w:tcBorders>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6983095</wp:posOffset>
            </wp:positionH>
            <wp:positionV relativeFrom="paragraph">
              <wp:posOffset>-736600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-453390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-170815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Legal Proceedings</w:t>
      </w:r>
    </w:p>
    <w:p>
      <w:pPr>
        <w:spacing w:after="0" w:line="104"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On September 16, 2021, the Company filed suit in the U.S. District Court for the District of Delaware (C.A. No. 1:21-cv-01317) alleging that Ivantis, Inc. directly and indirectly infringes U.S. Patent Nos. 8,287,482, 9,370,443, 9,486,361, and 10,314,742 by making, using, selling, and offering for sale the Hydrus® Microstent. The Company’s Complaint seeks money damages and injunctive relief. On January 24, 2022, Ivantis asserted counterclaims requesting declaratory judgments that the Company's asserted patents-in-suit are not infringed and/or invalid. On August 1, 2022, the Company filed an amended complaint alleging that Alcon Inc., Alcon Vision, LLC and Alcon Research, LLC infringe the four originally asserted patents by making, using, selling, and offering for sale the Hydrus® Microstent, and that all defendants also infringe U.S. Patent No. 11,389,328. No trial date has been set. The Company is presently unable to predict the outcome of this lawsuit or to reasonably estimate the potential financial impact of the lawsuit on the Company, if any.</w:t>
      </w:r>
    </w:p>
    <w:p>
      <w:pPr>
        <w:spacing w:after="0" w:line="92"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Company is subject to claims and assessments from time to time in the ordinary course of business. Accruals for litigation and contingencies are reflected in the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 As of June 30, 2022 and December 31, 2021, the Company was not involved in any material legal proceedings except as described above.</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Indemnification</w:t>
      </w:r>
    </w:p>
    <w:p>
      <w:pPr>
        <w:spacing w:after="0" w:line="104" w:lineRule="exact"/>
        <w:rPr>
          <w:sz w:val="20"/>
          <w:szCs w:val="20"/>
          <w:color w:val="auto"/>
        </w:rPr>
      </w:pPr>
    </w:p>
    <w:p>
      <w:pPr>
        <w:ind w:right="100" w:firstLine="509"/>
        <w:spacing w:after="0" w:line="290"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6" w:name="page17"/>
    <w:bookmarkEnd w:id="16"/>
    <w:p>
      <w:pPr>
        <w:ind w:right="40" w:firstLine="509"/>
        <w:spacing w:after="0" w:line="261" w:lineRule="auto"/>
        <w:rPr>
          <w:sz w:val="20"/>
          <w:szCs w:val="20"/>
          <w:color w:val="auto"/>
        </w:rPr>
      </w:pPr>
      <w:r>
        <w:rPr>
          <w:rFonts w:ascii="Arial" w:cs="Arial" w:eastAsia="Arial" w:hAnsi="Arial"/>
          <w:sz w:val="17"/>
          <w:szCs w:val="17"/>
          <w:color w:val="auto"/>
        </w:rPr>
        <w:t>The Company indemnifies each of its directors and officers for certain events or occurrences, subject to certain limits, while the director is or was serving at the Company’s request in such capacity, as permitted under Delaware law and in accordance with its certificate of incorporation and bylaws. The term of the indemnification period lasts as long as a director or officer may be subject to any proceeding arising out of acts or omissions of such director or officer in such capacity. The maximum amount of potential future indemnification is unlimited; however, the Company currently holds director and officer liability insurance. This insurance allows the transfer of risk associated with the Company’s exposure and may enable it to recover a portion of any future amounts paid. The Company believes that the fair value of these indemnification obligations is immaterial. Accordingly, the Company has not recognized any liabilities relating to these obligations as of June 30, 2022 and December 31, 2021.</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7.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04"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In connection with the Company’s IPO in July 2021, the Company’s certificate of incorporation was amended and restated to provide for 200,000,000 authorized shares of common stock with a par value of $0.001 per share and 10,000,000 authorized shares of preferred stock with a par value of $0.001 per share. The holders of common stock were also entitled to receive dividends whenever funds are legally available, when and if declared by the board of directors. As of June 30, 2022, no dividends have been declared to date. Each share of common stock is entitled to one vote.</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June 30, 2022 and December 31, 2021, the Company had reserved common stock for future issuances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00" w:type="dxa"/>
            <w:vAlign w:val="bottom"/>
          </w:tcPr>
          <w:p>
            <w:pPr>
              <w:spacing w:after="0"/>
              <w:rPr>
                <w:sz w:val="15"/>
                <w:szCs w:val="15"/>
                <w:color w:val="auto"/>
              </w:rPr>
            </w:pPr>
          </w:p>
        </w:tc>
        <w:tc>
          <w:tcPr>
            <w:tcW w:w="1620" w:type="dxa"/>
            <w:vAlign w:val="bottom"/>
          </w:tcPr>
          <w:p>
            <w:pPr>
              <w:jc w:val="right"/>
              <w:ind w:right="475"/>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5"/>
                <w:szCs w:val="15"/>
                <w:color w:val="auto"/>
              </w:rPr>
            </w:pPr>
          </w:p>
        </w:tc>
        <w:tc>
          <w:tcPr>
            <w:tcW w:w="1620" w:type="dxa"/>
            <w:vAlign w:val="bottom"/>
          </w:tcPr>
          <w:p>
            <w:pPr>
              <w:jc w:val="right"/>
              <w:ind w:right="316"/>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r>
      <w:tr>
        <w:trPr>
          <w:trHeight w:val="185"/>
        </w:trPr>
        <w:tc>
          <w:tcPr>
            <w:tcW w:w="7600" w:type="dxa"/>
            <w:vAlign w:val="bottom"/>
          </w:tcPr>
          <w:p>
            <w:pPr>
              <w:spacing w:after="0"/>
              <w:rPr>
                <w:sz w:val="16"/>
                <w:szCs w:val="16"/>
                <w:color w:val="auto"/>
              </w:rPr>
            </w:pPr>
          </w:p>
        </w:tc>
        <w:tc>
          <w:tcPr>
            <w:tcW w:w="1620" w:type="dxa"/>
            <w:vAlign w:val="bottom"/>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1920" w:type="dxa"/>
            <w:vAlign w:val="bottom"/>
            <w:gridSpan w:val="2"/>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options issued and outstanding</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5,709,691</w:t>
            </w:r>
          </w:p>
        </w:tc>
        <w:tc>
          <w:tcPr>
            <w:tcW w:w="300" w:type="dxa"/>
            <w:vAlign w:val="bottom"/>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4,996,945</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Common stock available for future grant</w:t>
            </w:r>
          </w:p>
        </w:tc>
        <w:tc>
          <w:tcPr>
            <w:tcW w:w="1620" w:type="dxa"/>
            <w:vAlign w:val="bottom"/>
          </w:tcPr>
          <w:p>
            <w:pPr>
              <w:jc w:val="right"/>
              <w:spacing w:after="0"/>
              <w:rPr>
                <w:sz w:val="20"/>
                <w:szCs w:val="20"/>
                <w:color w:val="auto"/>
              </w:rPr>
            </w:pPr>
            <w:r>
              <w:rPr>
                <w:rFonts w:ascii="Arial" w:cs="Arial" w:eastAsia="Arial" w:hAnsi="Arial"/>
                <w:sz w:val="18"/>
                <w:szCs w:val="18"/>
                <w:color w:val="auto"/>
              </w:rPr>
              <w:t>3,576,258</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5,321,687</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stock units outstanding</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766,598</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53,250</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Shares available for future purchase under ESPP</w:t>
            </w:r>
          </w:p>
        </w:tc>
        <w:tc>
          <w:tcPr>
            <w:tcW w:w="1620" w:type="dxa"/>
            <w:vAlign w:val="bottom"/>
          </w:tcPr>
          <w:p>
            <w:pPr>
              <w:jc w:val="right"/>
              <w:spacing w:after="0"/>
              <w:rPr>
                <w:sz w:val="20"/>
                <w:szCs w:val="20"/>
                <w:color w:val="auto"/>
              </w:rPr>
            </w:pPr>
            <w:r>
              <w:rPr>
                <w:rFonts w:ascii="Arial" w:cs="Arial" w:eastAsia="Arial" w:hAnsi="Arial"/>
                <w:sz w:val="18"/>
                <w:szCs w:val="18"/>
                <w:color w:val="auto"/>
              </w:rPr>
              <w:t>850,000</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850,000</w:t>
            </w:r>
          </w:p>
        </w:tc>
        <w:tc>
          <w:tcPr>
            <w:tcW w:w="100" w:type="dxa"/>
            <w:vAlign w:val="bottom"/>
          </w:tcPr>
          <w:p>
            <w:pPr>
              <w:spacing w:after="0"/>
              <w:rPr>
                <w:sz w:val="18"/>
                <w:szCs w:val="18"/>
                <w:color w:val="auto"/>
              </w:rPr>
            </w:pPr>
          </w:p>
        </w:tc>
      </w:tr>
      <w:tr>
        <w:trPr>
          <w:trHeight w:val="249"/>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10,902,547</w:t>
            </w:r>
          </w:p>
        </w:tc>
        <w:tc>
          <w:tcPr>
            <w:tcW w:w="30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11,221,882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-25400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04" w:lineRule="exact"/>
        <w:rPr>
          <w:sz w:val="20"/>
          <w:szCs w:val="20"/>
          <w:color w:val="auto"/>
        </w:rPr>
      </w:pPr>
    </w:p>
    <w:p>
      <w:pPr>
        <w:ind w:right="240" w:firstLine="509"/>
        <w:spacing w:after="0" w:line="278" w:lineRule="auto"/>
        <w:rPr>
          <w:sz w:val="20"/>
          <w:szCs w:val="20"/>
          <w:color w:val="auto"/>
        </w:rPr>
      </w:pPr>
      <w:r>
        <w:rPr>
          <w:rFonts w:ascii="Arial" w:cs="Arial" w:eastAsia="Arial" w:hAnsi="Arial"/>
          <w:sz w:val="17"/>
          <w:szCs w:val="17"/>
          <w:color w:val="auto"/>
        </w:rPr>
        <w:t>There was no redeemable convertible preferred stock outstanding as of June 30, 2022 and December 31, 2021. In connection with the Company’s IPO in July 2021, all then-outstanding shares of redeemable convertible preferred stock were converted into 25,534,404 shares of common stock. This resulted in the reclassification of the related redeemable convertible preferred stock to common stock and APIC.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right="20" w:firstLine="509"/>
        <w:spacing w:after="0" w:line="263" w:lineRule="auto"/>
        <w:rPr>
          <w:sz w:val="20"/>
          <w:szCs w:val="20"/>
          <w:color w:val="auto"/>
        </w:rPr>
      </w:pPr>
      <w:r>
        <w:rPr>
          <w:rFonts w:ascii="Arial" w:cs="Arial" w:eastAsia="Arial" w:hAnsi="Arial"/>
          <w:sz w:val="17"/>
          <w:szCs w:val="17"/>
          <w:color w:val="auto"/>
        </w:rPr>
        <w:t>There were no warrants outstanding as of June 30, 2022 and December 31, 2021. The Company had previously issued redeemable convertible preferred stock warrants in connection with the Company's 2019 Term Loan agreement and 2020 Term Loan agreement. At initial recognition, the warrants were recorded at their estimated fair values and were subject to remeasurement at each balance sheet date. Upon completion of the IPO, the outstanding warrants were converted to common stock, resulting in the re-classification of the convertible preferred stock warrant liability to APIC. In August 2021, the warrants were net exercised and the Company issued 483,554 shares of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8. Equity Incentive Plans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2011 Stock Option Plan and 2021 Incentive Award Plan</w:t>
      </w:r>
    </w:p>
    <w:p>
      <w:pPr>
        <w:spacing w:after="0" w:line="104" w:lineRule="exact"/>
        <w:rPr>
          <w:sz w:val="20"/>
          <w:szCs w:val="20"/>
          <w:color w:val="auto"/>
        </w:rPr>
      </w:pPr>
    </w:p>
    <w:p>
      <w:pPr>
        <w:ind w:right="100" w:firstLine="509"/>
        <w:spacing w:after="0" w:line="303" w:lineRule="auto"/>
        <w:rPr>
          <w:sz w:val="20"/>
          <w:szCs w:val="20"/>
          <w:color w:val="auto"/>
        </w:rPr>
      </w:pPr>
      <w:r>
        <w:rPr>
          <w:rFonts w:ascii="Arial" w:cs="Arial" w:eastAsia="Arial" w:hAnsi="Arial"/>
          <w:sz w:val="16"/>
          <w:szCs w:val="16"/>
          <w:color w:val="auto"/>
        </w:rPr>
        <w:t>In 2011, the Company established its 2011 Stock Option Plan (the “2011 Plan”) that provided for the granting of stock options to employees and nonemployees of the Company. In July 2021, the Company’s Board of Directors and stockholders adopted and approved the 2021 Incentive Award Plan, (the “2021 Plan”). Under the 2021 Plan, the Company has the ability to issue incentive stock options ("ISOs"), nonqualified stock options ("NSOs"), stock</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7" w:name="page18"/>
    <w:bookmarkEnd w:id="17"/>
    <w:p>
      <w:pPr>
        <w:ind w:right="20"/>
        <w:spacing w:after="0" w:line="261" w:lineRule="auto"/>
        <w:rPr>
          <w:sz w:val="20"/>
          <w:szCs w:val="20"/>
          <w:color w:val="auto"/>
        </w:rPr>
      </w:pPr>
      <w:r>
        <w:rPr>
          <w:rFonts w:ascii="Arial" w:cs="Arial" w:eastAsia="Arial" w:hAnsi="Arial"/>
          <w:sz w:val="17"/>
          <w:szCs w:val="17"/>
          <w:color w:val="auto"/>
        </w:rPr>
        <w:t>appreciation rights, dividend equivalent rights, restricted stock awards, and restricted stock unit awards. Options under the 2021 Plan can be granted for periods of up to 10 years. For incentive stock options granted to a grantee who, at the time the option is granted, owns stock representing more than 10% of the voting power of all classes of stock of the Company or any parent or subsidiary of the Company, the term of the incentive stock option may be granted for periods of up to five years. The ISOs and NSOs will be granted at a price per share not less than the fair value at the date of grant. The exercise price of an ISO granted to a 10% stockholder shall not be less than 110% of the estimated fair value of the shares on the date of grant, as determined by the board of directors. Options granted to new hires generally vest over a four-year period, with 25% vesting at the end of one year and the remaining vesting monthly thereafter; options granted as merit awards generally vest monthly over a four-year period. The Company reserved 5,200,000 shares of common stock for future issuance under the 2021 Plan.</w:t>
      </w:r>
    </w:p>
    <w:p>
      <w:pPr>
        <w:spacing w:after="0" w:line="68" w:lineRule="exact"/>
        <w:rPr>
          <w:sz w:val="20"/>
          <w:szCs w:val="20"/>
          <w:color w:val="auto"/>
        </w:rPr>
      </w:pPr>
    </w:p>
    <w:p>
      <w:pPr>
        <w:jc w:val="both"/>
        <w:ind w:right="180" w:firstLine="509"/>
        <w:spacing w:after="0" w:line="294" w:lineRule="auto"/>
        <w:rPr>
          <w:sz w:val="20"/>
          <w:szCs w:val="20"/>
          <w:color w:val="auto"/>
        </w:rPr>
      </w:pPr>
      <w:r>
        <w:rPr>
          <w:rFonts w:ascii="Arial" w:cs="Arial" w:eastAsia="Arial" w:hAnsi="Arial"/>
          <w:sz w:val="16"/>
          <w:szCs w:val="16"/>
          <w:color w:val="auto"/>
        </w:rPr>
        <w:t>The Company’s 2011 Stock Plan was terminated in connection with the IPO and no further grants will be made under the 2011 Plan from the date the 2021 Plan became effective. The terms under the 2011 Plan are consistent with those described above for the 2021 Plan. The Company had the ability to issue ISOs, NSOs, stock appreciation rights, dividend equivalent rights, restricted stock awards, and restricted stock unit awards.</w:t>
      </w:r>
    </w:p>
    <w:p>
      <w:pPr>
        <w:spacing w:after="0" w:line="53"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At June 30, 2022 and December 31, 2021 there were 3,576,258 and 5,321,687 shares, respectively, of common stock available for issuance under the 2021 Plan.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Stock Option Awards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activity under the 2021 Plan: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4360" w:type="dxa"/>
            <w:vAlign w:val="bottom"/>
          </w:tcPr>
          <w:p>
            <w:pPr>
              <w:spacing w:after="0"/>
              <w:rPr>
                <w:sz w:val="13"/>
                <w:szCs w:val="13"/>
                <w:color w:val="auto"/>
              </w:rPr>
            </w:pPr>
          </w:p>
        </w:tc>
        <w:tc>
          <w:tcPr>
            <w:tcW w:w="1620" w:type="dxa"/>
            <w:vAlign w:val="bottom"/>
            <w:gridSpan w:val="2"/>
          </w:tcPr>
          <w:p>
            <w:pPr>
              <w:jc w:val="right"/>
              <w:ind w:right="620"/>
              <w:spacing w:after="0" w:line="158" w:lineRule="exact"/>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3"/>
                <w:szCs w:val="13"/>
                <w:color w:val="auto"/>
              </w:rPr>
            </w:pPr>
          </w:p>
        </w:tc>
        <w:tc>
          <w:tcPr>
            <w:tcW w:w="1280" w:type="dxa"/>
            <w:vAlign w:val="bottom"/>
          </w:tcPr>
          <w:p>
            <w:pPr>
              <w:jc w:val="right"/>
              <w:ind w:right="54"/>
              <w:spacing w:after="0" w:line="158" w:lineRule="exact"/>
              <w:rPr>
                <w:sz w:val="20"/>
                <w:szCs w:val="20"/>
                <w:color w:val="auto"/>
              </w:rPr>
            </w:pPr>
            <w:r>
              <w:rPr>
                <w:rFonts w:ascii="Arial" w:cs="Arial" w:eastAsia="Arial" w:hAnsi="Arial"/>
                <w:sz w:val="14"/>
                <w:szCs w:val="14"/>
                <w:b w:val="1"/>
                <w:bCs w:val="1"/>
                <w:color w:val="auto"/>
                <w:w w:val="91"/>
              </w:rPr>
              <w:t>Weighted-Average</w:t>
            </w:r>
          </w:p>
        </w:tc>
        <w:tc>
          <w:tcPr>
            <w:tcW w:w="240" w:type="dxa"/>
            <w:vAlign w:val="bottom"/>
          </w:tcPr>
          <w:p>
            <w:pPr>
              <w:spacing w:after="0"/>
              <w:rPr>
                <w:sz w:val="13"/>
                <w:szCs w:val="13"/>
                <w:color w:val="auto"/>
              </w:rPr>
            </w:pPr>
          </w:p>
        </w:tc>
        <w:tc>
          <w:tcPr>
            <w:tcW w:w="1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Contractual</w:t>
            </w:r>
          </w:p>
        </w:tc>
        <w:tc>
          <w:tcPr>
            <w:tcW w:w="260" w:type="dxa"/>
            <w:vAlign w:val="bottom"/>
          </w:tcPr>
          <w:p>
            <w:pPr>
              <w:spacing w:after="0"/>
              <w:rPr>
                <w:sz w:val="13"/>
                <w:szCs w:val="13"/>
                <w:color w:val="auto"/>
              </w:rPr>
            </w:pPr>
          </w:p>
        </w:tc>
        <w:tc>
          <w:tcPr>
            <w:tcW w:w="154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6"/>
              </w:rPr>
              <w:t>Average Intrinsic Value</w:t>
            </w:r>
          </w:p>
        </w:tc>
        <w:tc>
          <w:tcPr>
            <w:tcW w:w="100" w:type="dxa"/>
            <w:vAlign w:val="bottom"/>
          </w:tcPr>
          <w:p>
            <w:pPr>
              <w:spacing w:after="0"/>
              <w:rPr>
                <w:sz w:val="13"/>
                <w:szCs w:val="13"/>
                <w:color w:val="auto"/>
              </w:rPr>
            </w:pPr>
          </w:p>
        </w:tc>
      </w:tr>
      <w:tr>
        <w:trPr>
          <w:trHeight w:val="189"/>
        </w:trPr>
        <w:tc>
          <w:tcPr>
            <w:tcW w:w="4360" w:type="dxa"/>
            <w:vAlign w:val="bottom"/>
          </w:tcPr>
          <w:p>
            <w:pPr>
              <w:spacing w:after="0"/>
              <w:rPr>
                <w:sz w:val="16"/>
                <w:szCs w:val="16"/>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1280" w:type="dxa"/>
            <w:vAlign w:val="bottom"/>
          </w:tcPr>
          <w:p>
            <w:pPr>
              <w:jc w:val="right"/>
              <w:ind w:right="174"/>
              <w:spacing w:after="0"/>
              <w:rPr>
                <w:sz w:val="20"/>
                <w:szCs w:val="20"/>
                <w:color w:val="auto"/>
              </w:rPr>
            </w:pPr>
            <w:r>
              <w:rPr>
                <w:rFonts w:ascii="Arial" w:cs="Arial" w:eastAsia="Arial" w:hAnsi="Arial"/>
                <w:sz w:val="14"/>
                <w:szCs w:val="14"/>
                <w:b w:val="1"/>
                <w:bCs w:val="1"/>
                <w:color w:val="auto"/>
              </w:rPr>
              <w:t>Exercise Price</w:t>
            </w:r>
          </w:p>
        </w:tc>
        <w:tc>
          <w:tcPr>
            <w:tcW w:w="24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254"/>
              <w:spacing w:after="0"/>
              <w:rPr>
                <w:sz w:val="20"/>
                <w:szCs w:val="20"/>
                <w:color w:val="auto"/>
              </w:rPr>
            </w:pPr>
            <w:r>
              <w:rPr>
                <w:rFonts w:ascii="Arial" w:cs="Arial" w:eastAsia="Arial" w:hAnsi="Arial"/>
                <w:sz w:val="14"/>
                <w:szCs w:val="14"/>
                <w:b w:val="1"/>
                <w:bCs w:val="1"/>
                <w:color w:val="auto"/>
                <w:w w:val="99"/>
              </w:rPr>
              <w:t>(in thousands)</w:t>
            </w:r>
          </w:p>
        </w:tc>
        <w:tc>
          <w:tcPr>
            <w:tcW w:w="100" w:type="dxa"/>
            <w:vAlign w:val="bottom"/>
          </w:tcPr>
          <w:p>
            <w:pPr>
              <w:spacing w:after="0"/>
              <w:rPr>
                <w:sz w:val="16"/>
                <w:szCs w:val="16"/>
                <w:color w:val="auto"/>
              </w:rPr>
            </w:pPr>
          </w:p>
        </w:tc>
      </w:tr>
      <w:tr>
        <w:trPr>
          <w:trHeight w:val="209"/>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as of December 31, 2021</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4,996,945</w:t>
            </w: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240" w:type="dxa"/>
            <w:vAlign w:val="bottom"/>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58,420</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8"/>
                <w:szCs w:val="18"/>
                <w:color w:val="auto"/>
              </w:rPr>
              <w:t>Grants</w:t>
            </w:r>
          </w:p>
        </w:tc>
        <w:tc>
          <w:tcPr>
            <w:tcW w:w="1340" w:type="dxa"/>
            <w:vAlign w:val="bottom"/>
          </w:tcPr>
          <w:p>
            <w:pPr>
              <w:jc w:val="right"/>
              <w:spacing w:after="0"/>
              <w:rPr>
                <w:sz w:val="20"/>
                <w:szCs w:val="20"/>
                <w:color w:val="auto"/>
              </w:rPr>
            </w:pPr>
            <w:r>
              <w:rPr>
                <w:rFonts w:ascii="Arial" w:cs="Arial" w:eastAsia="Arial" w:hAnsi="Arial"/>
                <w:sz w:val="18"/>
                <w:szCs w:val="18"/>
                <w:color w:val="auto"/>
              </w:rPr>
              <w:t>1,352,900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17.27</w:t>
            </w: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Forfeited/cancelled</w:t>
            </w: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(322,794 )</w:t>
            </w: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8"/>
                <w:szCs w:val="18"/>
                <w:color w:val="auto"/>
              </w:rPr>
              <w:t>Exercised/released</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(317,360 )</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0.76</w:t>
            </w: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Balances as of June 30, 2022</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5,709,691</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19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48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15,844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4360" w:type="dxa"/>
            <w:vAlign w:val="bottom"/>
          </w:tcPr>
          <w:p>
            <w:pPr>
              <w:ind w:left="20"/>
              <w:spacing w:after="0" w:line="196" w:lineRule="exact"/>
              <w:rPr>
                <w:sz w:val="20"/>
                <w:szCs w:val="20"/>
                <w:color w:val="auto"/>
              </w:rPr>
            </w:pPr>
            <w:r>
              <w:rPr>
                <w:rFonts w:ascii="Arial" w:cs="Arial" w:eastAsia="Arial" w:hAnsi="Arial"/>
                <w:sz w:val="18"/>
                <w:szCs w:val="18"/>
                <w:color w:val="auto"/>
              </w:rPr>
              <w:t>Vested and exercisable as of June 30, 2022</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2,169,525</w:t>
            </w:r>
          </w:p>
        </w:tc>
        <w:tc>
          <w:tcPr>
            <w:tcW w:w="28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4.93</w:t>
            </w:r>
          </w:p>
        </w:tc>
        <w:tc>
          <w:tcPr>
            <w:tcW w:w="1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w:t>
            </w:r>
          </w:p>
        </w:tc>
        <w:tc>
          <w:tcPr>
            <w:tcW w:w="48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11,389</w:t>
            </w:r>
          </w:p>
        </w:tc>
        <w:tc>
          <w:tcPr>
            <w:tcW w:w="100" w:type="dxa"/>
            <w:vAlign w:val="bottom"/>
          </w:tcPr>
          <w:p>
            <w:pPr>
              <w:spacing w:after="0"/>
              <w:rPr>
                <w:sz w:val="17"/>
                <w:szCs w:val="17"/>
                <w:color w:val="auto"/>
              </w:rPr>
            </w:pPr>
          </w:p>
        </w:tc>
      </w:tr>
      <w:tr>
        <w:trPr>
          <w:trHeight w:val="216"/>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 and expected to vest as of June 30, 2022</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5,679,691</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w:t>
            </w:r>
          </w:p>
        </w:tc>
        <w:tc>
          <w:tcPr>
            <w:tcW w:w="1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48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15,577</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-299720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-282575</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76" w:lineRule="exact"/>
        <w:rPr>
          <w:sz w:val="20"/>
          <w:szCs w:val="20"/>
          <w:color w:val="auto"/>
        </w:rPr>
      </w:pPr>
    </w:p>
    <w:p>
      <w:pPr>
        <w:jc w:val="both"/>
        <w:ind w:right="140" w:firstLine="509"/>
        <w:spacing w:after="0" w:line="249" w:lineRule="auto"/>
        <w:rPr>
          <w:sz w:val="20"/>
          <w:szCs w:val="20"/>
          <w:color w:val="auto"/>
        </w:rPr>
      </w:pPr>
      <w:r>
        <w:rPr>
          <w:rFonts w:ascii="Arial" w:cs="Arial" w:eastAsia="Arial" w:hAnsi="Arial"/>
          <w:sz w:val="18"/>
          <w:szCs w:val="18"/>
          <w:color w:val="auto"/>
        </w:rPr>
        <w:t>During the three and six months ended June 30, 2022, the Company recorded stock-based compensation of $2.6 million and $5.1 million related to stock option awards, respectively. During the three and six months ended June 30, 2021, the Company recorded stock-based compensation of $0.9 million and $1.2 million related to stock option awards, respectively. The weighted-average grant-date fair values of options granted during the six months ended June 30, 2022 and 2021 was $9.67 and $10.42 per share, respectively.</w:t>
      </w:r>
    </w:p>
    <w:p>
      <w:pPr>
        <w:spacing w:after="0" w:line="181" w:lineRule="exact"/>
        <w:rPr>
          <w:sz w:val="20"/>
          <w:szCs w:val="20"/>
          <w:color w:val="auto"/>
        </w:rPr>
      </w:pPr>
    </w:p>
    <w:p>
      <w:pPr>
        <w:ind w:right="380" w:firstLine="509"/>
        <w:spacing w:after="0" w:line="249" w:lineRule="auto"/>
        <w:rPr>
          <w:sz w:val="20"/>
          <w:szCs w:val="20"/>
          <w:color w:val="auto"/>
        </w:rPr>
      </w:pPr>
      <w:r>
        <w:rPr>
          <w:rFonts w:ascii="Arial" w:cs="Arial" w:eastAsia="Arial" w:hAnsi="Arial"/>
          <w:sz w:val="18"/>
          <w:szCs w:val="18"/>
          <w:color w:val="auto"/>
        </w:rPr>
        <w:t>The aggregate intrinsic value of options exercised was $1.7 million and $2.9 million during the three and six months ended June 30, 2022, respectively. The aggregate intrinsic value was calculated as the difference between the exercise prices of the underlying options and the estimated fair value of the common stock on the date of exercise. As of June 30, 2022, the unrecognized stock-based compensation of unvested options was $30.9 million, which is expected to be recognized over a weighted-average period of 3.0 years.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Determination of fair value</w:t>
      </w:r>
    </w:p>
    <w:p>
      <w:pPr>
        <w:spacing w:after="0" w:line="212" w:lineRule="exact"/>
        <w:rPr>
          <w:sz w:val="20"/>
          <w:szCs w:val="20"/>
          <w:color w:val="auto"/>
        </w:rPr>
      </w:pPr>
    </w:p>
    <w:p>
      <w:pPr>
        <w:jc w:val="both"/>
        <w:ind w:right="40" w:firstLine="509"/>
        <w:spacing w:after="0" w:line="256" w:lineRule="auto"/>
        <w:rPr>
          <w:sz w:val="20"/>
          <w:szCs w:val="20"/>
          <w:color w:val="auto"/>
        </w:rPr>
      </w:pPr>
      <w:r>
        <w:rPr>
          <w:rFonts w:ascii="Arial" w:cs="Arial" w:eastAsia="Arial" w:hAnsi="Arial"/>
          <w:sz w:val="18"/>
          <w:szCs w:val="18"/>
          <w:color w:val="auto"/>
        </w:rPr>
        <w:t>The Company estimated the fair value of stock options using the Black-Scholes option-pricing model. The fair value of stock options is recognized on a straight-line basis over the requisite service periods of the awards. The fair value of stock options was estimated using the following weighted-average assumptions: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gridSpan w:val="4"/>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5"/>
        </w:trPr>
        <w:tc>
          <w:tcPr>
            <w:tcW w:w="35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4"/>
                <w:szCs w:val="14"/>
                <w:b w:val="1"/>
                <w:bCs w:val="1"/>
                <w:color w:val="auto"/>
                <w:w w:val="96"/>
              </w:rPr>
              <w:t>June 30,</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4"/>
                <w:szCs w:val="14"/>
                <w:b w:val="1"/>
                <w:bCs w:val="1"/>
                <w:color w:val="auto"/>
                <w:w w:val="96"/>
              </w:rPr>
              <w:t>June 30,</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69"/>
        </w:trPr>
        <w:tc>
          <w:tcPr>
            <w:tcW w:w="3540" w:type="dxa"/>
            <w:vAlign w:val="bottom"/>
          </w:tcPr>
          <w:p>
            <w:pPr>
              <w:spacing w:after="0"/>
              <w:rPr>
                <w:sz w:val="14"/>
                <w:szCs w:val="14"/>
                <w:color w:val="auto"/>
              </w:rPr>
            </w:pPr>
          </w:p>
        </w:tc>
        <w:tc>
          <w:tcPr>
            <w:tcW w:w="1600" w:type="dxa"/>
            <w:vAlign w:val="bottom"/>
            <w:gridSpan w:val="2"/>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2220" w:type="dxa"/>
            <w:vAlign w:val="bottom"/>
            <w:gridSpan w:val="4"/>
          </w:tcPr>
          <w:p>
            <w:pPr>
              <w:jc w:val="right"/>
              <w:ind w:right="67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580" w:type="dxa"/>
            <w:vAlign w:val="bottom"/>
            <w:gridSpan w:val="3"/>
          </w:tcPr>
          <w:p>
            <w:pPr>
              <w:jc w:val="center"/>
              <w:ind w:left="119"/>
              <w:spacing w:after="0"/>
              <w:rPr>
                <w:sz w:val="20"/>
                <w:szCs w:val="20"/>
                <w:color w:val="auto"/>
              </w:rPr>
            </w:pPr>
            <w:r>
              <w:rPr>
                <w:rFonts w:ascii="Arial" w:cs="Arial" w:eastAsia="Arial" w:hAnsi="Arial"/>
                <w:sz w:val="14"/>
                <w:szCs w:val="14"/>
                <w:b w:val="1"/>
                <w:bCs w:val="1"/>
                <w:color w:val="auto"/>
                <w:w w:val="96"/>
              </w:rPr>
              <w:t>2022</w:t>
            </w:r>
          </w:p>
        </w:tc>
        <w:tc>
          <w:tcPr>
            <w:tcW w:w="2180" w:type="dxa"/>
            <w:vAlign w:val="bottom"/>
            <w:gridSpan w:val="5"/>
          </w:tcPr>
          <w:p>
            <w:pPr>
              <w:jc w:val="center"/>
              <w:ind w:left="299"/>
              <w:spacing w:after="0"/>
              <w:rPr>
                <w:sz w:val="20"/>
                <w:szCs w:val="20"/>
                <w:color w:val="auto"/>
              </w:rPr>
            </w:pPr>
            <w:r>
              <w:rPr>
                <w:rFonts w:ascii="Arial" w:cs="Arial" w:eastAsia="Arial" w:hAnsi="Arial"/>
                <w:sz w:val="14"/>
                <w:szCs w:val="14"/>
                <w:b w:val="1"/>
                <w:bCs w:val="1"/>
                <w:color w:val="auto"/>
                <w:w w:val="89"/>
              </w:rPr>
              <w:t>2021</w:t>
            </w:r>
          </w:p>
        </w:tc>
      </w:tr>
      <w:tr>
        <w:trPr>
          <w:trHeight w:val="209"/>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7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6.04</w:t>
            </w:r>
          </w:p>
        </w:tc>
        <w:tc>
          <w:tcPr>
            <w:tcW w:w="2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9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6.18</w:t>
            </w:r>
          </w:p>
        </w:tc>
        <w:tc>
          <w:tcPr>
            <w:tcW w:w="12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6.94</w:t>
            </w:r>
          </w:p>
        </w:tc>
        <w:tc>
          <w:tcPr>
            <w:tcW w:w="2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6.18</w:t>
            </w: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840" w:type="dxa"/>
            <w:vAlign w:val="bottom"/>
          </w:tcPr>
          <w:p>
            <w:pPr>
              <w:jc w:val="right"/>
              <w:spacing w:after="0"/>
              <w:rPr>
                <w:sz w:val="20"/>
                <w:szCs w:val="20"/>
                <w:color w:val="auto"/>
              </w:rPr>
            </w:pPr>
            <w:r>
              <w:rPr>
                <w:rFonts w:ascii="Arial" w:cs="Arial" w:eastAsia="Arial" w:hAnsi="Arial"/>
                <w:sz w:val="18"/>
                <w:szCs w:val="18"/>
                <w:color w:val="auto"/>
              </w:rPr>
              <w:t>58.74%</w:t>
            </w:r>
          </w:p>
        </w:tc>
        <w:tc>
          <w:tcPr>
            <w:tcW w:w="760" w:type="dxa"/>
            <w:vAlign w:val="bottom"/>
          </w:tcPr>
          <w:p>
            <w:pPr>
              <w:ind w:left="20"/>
              <w:spacing w:after="0"/>
              <w:rPr>
                <w:sz w:val="20"/>
                <w:szCs w:val="20"/>
                <w:color w:val="auto"/>
              </w:rPr>
            </w:pPr>
            <w:r>
              <w:rPr>
                <w:rFonts w:ascii="Arial" w:cs="Arial" w:eastAsia="Arial" w:hAnsi="Arial"/>
                <w:sz w:val="18"/>
                <w:szCs w:val="18"/>
                <w:color w:val="auto"/>
                <w:w w:val="94"/>
              </w:rPr>
              <w:t>– 59.24%</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59.93%</w:t>
            </w:r>
          </w:p>
        </w:tc>
        <w:tc>
          <w:tcPr>
            <w:tcW w:w="980" w:type="dxa"/>
            <w:vAlign w:val="bottom"/>
          </w:tcPr>
          <w:p>
            <w:pPr>
              <w:ind w:left="20"/>
              <w:spacing w:after="0"/>
              <w:rPr>
                <w:sz w:val="20"/>
                <w:szCs w:val="20"/>
                <w:color w:val="auto"/>
              </w:rPr>
            </w:pPr>
            <w:r>
              <w:rPr>
                <w:rFonts w:ascii="Arial" w:cs="Arial" w:eastAsia="Arial" w:hAnsi="Arial"/>
                <w:sz w:val="18"/>
                <w:szCs w:val="18"/>
                <w:color w:val="auto"/>
              </w:rPr>
              <w:t>– 61.07%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58.74%</w:t>
            </w: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Pr>
          <w:p>
            <w:pPr>
              <w:ind w:left="20"/>
              <w:spacing w:after="0"/>
              <w:rPr>
                <w:sz w:val="20"/>
                <w:szCs w:val="20"/>
                <w:color w:val="auto"/>
              </w:rPr>
            </w:pPr>
            <w:r>
              <w:rPr>
                <w:rFonts w:ascii="Arial" w:cs="Arial" w:eastAsia="Arial" w:hAnsi="Arial"/>
                <w:sz w:val="18"/>
                <w:szCs w:val="18"/>
                <w:color w:val="auto"/>
                <w:w w:val="94"/>
              </w:rPr>
              <w:t>60.12%</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56.75%</w:t>
            </w: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40"/>
              <w:spacing w:after="0"/>
              <w:rPr>
                <w:sz w:val="20"/>
                <w:szCs w:val="20"/>
                <w:color w:val="auto"/>
              </w:rPr>
            </w:pPr>
            <w:r>
              <w:rPr>
                <w:rFonts w:ascii="Arial" w:cs="Arial" w:eastAsia="Arial" w:hAnsi="Arial"/>
                <w:sz w:val="18"/>
                <w:szCs w:val="18"/>
                <w:color w:val="auto"/>
              </w:rPr>
              <w:t>61.08%</w:t>
            </w:r>
          </w:p>
        </w:tc>
      </w:tr>
      <w:tr>
        <w:trPr>
          <w:trHeight w:val="216"/>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3.14%</w:t>
            </w:r>
          </w:p>
        </w:tc>
        <w:tc>
          <w:tcPr>
            <w:tcW w:w="12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0.95%</w:t>
            </w:r>
          </w:p>
        </w:tc>
        <w:tc>
          <w:tcPr>
            <w:tcW w:w="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1.05%</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3.14%</w:t>
            </w: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ind w:left="40"/>
              <w:spacing w:after="0"/>
              <w:rPr>
                <w:sz w:val="20"/>
                <w:szCs w:val="20"/>
                <w:color w:val="auto"/>
              </w:rPr>
            </w:pPr>
            <w:r>
              <w:rPr>
                <w:rFonts w:ascii="Arial" w:cs="Arial" w:eastAsia="Arial" w:hAnsi="Arial"/>
                <w:sz w:val="18"/>
                <w:szCs w:val="18"/>
                <w:color w:val="auto"/>
              </w:rPr>
              <w:t>1.05%</w:t>
            </w: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84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tcPr>
          <w:p>
            <w:pPr>
              <w:spacing w:after="0"/>
              <w:rPr>
                <w:sz w:val="20"/>
                <w:szCs w:val="20"/>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Term</w:t>
      </w:r>
    </w:p>
    <w:p>
      <w:pPr>
        <w:spacing w:after="0" w:line="104"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The expected term is calculated using the simplified method, which is available if there is insufficient historical data about exercise patterns and post vesting employment termination behavior. The simplified method is based on the vesting period and the contractual term for each grant or for each vesting tranche for awards with graded vesting. The midpoint of the vesting date and the maximum contractual expiration date is used as the expected term under this method. For awards with multiple vesting tranches, the time from grant until the midpoints for each of the tranches may be averaged to provide an overall expected term.</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Volatility</w:t>
      </w:r>
    </w:p>
    <w:p>
      <w:pPr>
        <w:spacing w:after="0" w:line="104" w:lineRule="exact"/>
        <w:rPr>
          <w:sz w:val="20"/>
          <w:szCs w:val="20"/>
          <w:color w:val="auto"/>
        </w:rPr>
      </w:pPr>
    </w:p>
    <w:p>
      <w:pPr>
        <w:ind w:right="180" w:firstLine="509"/>
        <w:spacing w:after="0" w:line="249" w:lineRule="auto"/>
        <w:rPr>
          <w:sz w:val="20"/>
          <w:szCs w:val="20"/>
          <w:color w:val="auto"/>
        </w:rPr>
      </w:pPr>
      <w:r>
        <w:rPr>
          <w:rFonts w:ascii="Arial" w:cs="Arial" w:eastAsia="Arial" w:hAnsi="Arial"/>
          <w:sz w:val="18"/>
          <w:szCs w:val="18"/>
          <w:color w:val="auto"/>
        </w:rPr>
        <w:t>The Company used an average historical stock price volatility of a peer group of publicly traded companies to be representative of its expected future stock price volatility, as the Company did not have any trading history for its common stock. For purposes of identifying these peer companies, the Company considered the industry, stage of development, size, and financial leverage of potential comparable companies. For each grant, the Company measured historical volatility over a period equivalent to the expected term.</w:t>
      </w:r>
    </w:p>
    <w:p>
      <w:pPr>
        <w:spacing w:after="0" w:line="3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Risk-Free Interest Rate</w:t>
      </w:r>
    </w:p>
    <w:p>
      <w:pPr>
        <w:spacing w:after="0" w:line="104"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The risk-free interest rate is based on the implied yield currently available on US Treasury zero-coupon issues with remaining terms equivalent to the expected term of a stock award.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Dividend Rate</w:t>
      </w:r>
    </w:p>
    <w:p>
      <w:pPr>
        <w:spacing w:after="0" w:line="144"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The Company has not paid, and does not anticipate paying, any dividends in the near future. Accordingly, the Company has estimated the dividend yield to be 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Restricted Stock Units</w:t>
      </w:r>
    </w:p>
    <w:p>
      <w:pPr>
        <w:spacing w:after="0" w:line="104" w:lineRule="exact"/>
        <w:rPr>
          <w:sz w:val="20"/>
          <w:szCs w:val="20"/>
          <w:color w:val="auto"/>
        </w:rPr>
      </w:pPr>
    </w:p>
    <w:p>
      <w:pPr>
        <w:ind w:right="180" w:firstLine="509"/>
        <w:spacing w:after="0" w:line="290" w:lineRule="auto"/>
        <w:rPr>
          <w:sz w:val="20"/>
          <w:szCs w:val="20"/>
          <w:color w:val="auto"/>
        </w:rPr>
      </w:pPr>
      <w:r>
        <w:rPr>
          <w:rFonts w:ascii="Arial" w:cs="Arial" w:eastAsia="Arial" w:hAnsi="Arial"/>
          <w:sz w:val="16"/>
          <w:szCs w:val="16"/>
          <w:color w:val="auto"/>
        </w:rPr>
        <w:t>RSUs are share awards that entitle the holder to receive freely tradable shares of the Company’s common stock upon vesting. The RSUs cannot be transferred, and the awards are subject to forfeiture if the holder’s employment terminates prior to the release of the vesting restrictions. The RSUs generally vest over a four-year period with straight-line vesting in equal amounts on an annual basis, provided the employee remains continuously employed with the Company. The fair value of the RSUs is equal to the closing price of the Company’s common stock on the grant date.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color w:val="auto"/>
        </w:rPr>
        <w:t>The following table summarizes restricted share award activity under the 2021 Plan:</w:t>
      </w:r>
    </w:p>
    <w:p>
      <w:pPr>
        <w:spacing w:after="0" w:line="31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480" w:type="dxa"/>
            <w:vAlign w:val="bottom"/>
          </w:tcPr>
          <w:p>
            <w:pPr>
              <w:jc w:val="center"/>
              <w:ind w:left="588"/>
              <w:spacing w:after="0"/>
              <w:rPr>
                <w:sz w:val="20"/>
                <w:szCs w:val="20"/>
                <w:color w:val="auto"/>
              </w:rPr>
            </w:pPr>
            <w:r>
              <w:rPr>
                <w:rFonts w:ascii="Arial" w:cs="Arial" w:eastAsia="Arial" w:hAnsi="Arial"/>
                <w:sz w:val="14"/>
                <w:szCs w:val="14"/>
                <w:b w:val="1"/>
                <w:bCs w:val="1"/>
                <w:color w:val="auto"/>
                <w:w w:val="94"/>
              </w:rPr>
              <w:t>Number of</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w w:val="96"/>
              </w:rPr>
              <w:t>Weighted-Average Grant Date</w:t>
            </w:r>
          </w:p>
        </w:tc>
        <w:tc>
          <w:tcPr>
            <w:tcW w:w="80" w:type="dxa"/>
            <w:vAlign w:val="bottom"/>
          </w:tcPr>
          <w:p>
            <w:pPr>
              <w:spacing w:after="0"/>
              <w:rPr>
                <w:sz w:val="14"/>
                <w:szCs w:val="14"/>
                <w:color w:val="auto"/>
              </w:rPr>
            </w:pPr>
          </w:p>
        </w:tc>
      </w:tr>
      <w:tr>
        <w:trPr>
          <w:trHeight w:val="185"/>
        </w:trPr>
        <w:tc>
          <w:tcPr>
            <w:tcW w:w="4920" w:type="dxa"/>
            <w:vAlign w:val="bottom"/>
          </w:tcPr>
          <w:p>
            <w:pPr>
              <w:spacing w:after="0"/>
              <w:rPr>
                <w:sz w:val="16"/>
                <w:szCs w:val="16"/>
                <w:color w:val="auto"/>
              </w:rPr>
            </w:pPr>
          </w:p>
        </w:tc>
        <w:tc>
          <w:tcPr>
            <w:tcW w:w="1480" w:type="dxa"/>
            <w:vAlign w:val="bottom"/>
            <w:tcBorders>
              <w:bottom w:val="single" w:sz="8" w:color="auto"/>
            </w:tcBorders>
          </w:tcPr>
          <w:p>
            <w:pPr>
              <w:jc w:val="center"/>
              <w:ind w:left="588"/>
              <w:spacing w:after="0"/>
              <w:rPr>
                <w:sz w:val="20"/>
                <w:szCs w:val="20"/>
                <w:color w:val="auto"/>
              </w:rPr>
            </w:pPr>
            <w:r>
              <w:rPr>
                <w:rFonts w:ascii="Arial" w:cs="Arial" w:eastAsia="Arial" w:hAnsi="Arial"/>
                <w:sz w:val="14"/>
                <w:szCs w:val="14"/>
                <w:b w:val="1"/>
                <w:bCs w:val="1"/>
                <w:color w:val="auto"/>
                <w:w w:val="89"/>
              </w:rPr>
              <w:t>Shares</w:t>
            </w:r>
          </w:p>
        </w:tc>
        <w:tc>
          <w:tcPr>
            <w:tcW w:w="6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Fair Value Per Share</w:t>
            </w:r>
          </w:p>
        </w:tc>
        <w:tc>
          <w:tcPr>
            <w:tcW w:w="80" w:type="dxa"/>
            <w:vAlign w:val="bottom"/>
          </w:tcPr>
          <w:p>
            <w:pPr>
              <w:spacing w:after="0"/>
              <w:rPr>
                <w:sz w:val="16"/>
                <w:szCs w:val="16"/>
                <w:color w:val="auto"/>
              </w:rPr>
            </w:pPr>
          </w:p>
        </w:tc>
      </w:tr>
      <w:tr>
        <w:trPr>
          <w:trHeight w:val="209"/>
        </w:trPr>
        <w:tc>
          <w:tcPr>
            <w:tcW w:w="4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Outstanding, December 31, 2021</w:t>
            </w:r>
          </w:p>
        </w:tc>
        <w:tc>
          <w:tcPr>
            <w:tcW w:w="14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53,250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22.91</w:t>
            </w:r>
          </w:p>
        </w:tc>
        <w:tc>
          <w:tcPr>
            <w:tcW w:w="80" w:type="dxa"/>
            <w:vAlign w:val="bottom"/>
            <w:shd w:val="clear" w:color="auto" w:fill="CFF0FC"/>
          </w:tcPr>
          <w:p>
            <w:pPr>
              <w:spacing w:after="0"/>
              <w:rPr>
                <w:sz w:val="18"/>
                <w:szCs w:val="18"/>
                <w:color w:val="auto"/>
              </w:rPr>
            </w:pPr>
          </w:p>
        </w:tc>
      </w:tr>
      <w:tr>
        <w:trPr>
          <w:trHeight w:val="216"/>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Grants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730,023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15.83</w:t>
            </w:r>
          </w:p>
        </w:tc>
        <w:tc>
          <w:tcPr>
            <w:tcW w:w="80" w:type="dxa"/>
            <w:vAlign w:val="bottom"/>
          </w:tcPr>
          <w:p>
            <w:pPr>
              <w:spacing w:after="0"/>
              <w:rPr>
                <w:sz w:val="18"/>
                <w:szCs w:val="18"/>
                <w:color w:val="auto"/>
              </w:rPr>
            </w:pPr>
          </w:p>
        </w:tc>
      </w:tr>
      <w:tr>
        <w:trPr>
          <w:trHeight w:val="216"/>
        </w:trPr>
        <w:tc>
          <w:tcPr>
            <w:tcW w:w="64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Forfeited/cancelled</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(14,700 )</w:t>
            </w:r>
          </w:p>
        </w:tc>
        <w:tc>
          <w:tcPr>
            <w:tcW w:w="24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w:t>
            </w:r>
          </w:p>
        </w:tc>
        <w:tc>
          <w:tcPr>
            <w:tcW w:w="80" w:type="dxa"/>
            <w:vAlign w:val="bottom"/>
            <w:shd w:val="clear" w:color="auto" w:fill="CFF0FC"/>
          </w:tcPr>
          <w:p>
            <w:pPr>
              <w:spacing w:after="0"/>
              <w:rPr>
                <w:sz w:val="18"/>
                <w:szCs w:val="18"/>
                <w:color w:val="auto"/>
              </w:rPr>
            </w:pPr>
          </w:p>
        </w:tc>
      </w:tr>
      <w:tr>
        <w:trPr>
          <w:trHeight w:val="216"/>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Vested</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(1,975 )</w:t>
            </w: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17.41</w:t>
            </w:r>
          </w:p>
        </w:tc>
        <w:tc>
          <w:tcPr>
            <w:tcW w:w="80" w:type="dxa"/>
            <w:vAlign w:val="bottom"/>
          </w:tcPr>
          <w:p>
            <w:pPr>
              <w:spacing w:after="0"/>
              <w:rPr>
                <w:sz w:val="18"/>
                <w:szCs w:val="18"/>
                <w:color w:val="auto"/>
              </w:rPr>
            </w:pPr>
          </w:p>
        </w:tc>
      </w:tr>
      <w:tr>
        <w:trPr>
          <w:trHeight w:val="249"/>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June 30, 2022</w:t>
            </w:r>
          </w:p>
        </w:tc>
        <w:tc>
          <w:tcPr>
            <w:tcW w:w="1480" w:type="dxa"/>
            <w:vAlign w:val="bottom"/>
            <w:tcBorders>
              <w:top w:val="single" w:sz="8" w:color="auto"/>
              <w:bottom w:val="single" w:sz="8" w:color="auto"/>
            </w:tcBorders>
            <w:shd w:val="clear" w:color="auto" w:fill="CFF0FC"/>
          </w:tcPr>
          <w:p>
            <w:pPr>
              <w:spacing w:after="0"/>
              <w:rPr>
                <w:sz w:val="21"/>
                <w:szCs w:val="2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766,598</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-25400</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603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2" w:lineRule="exact"/>
        <w:rPr>
          <w:sz w:val="20"/>
          <w:szCs w:val="20"/>
          <w:color w:val="auto"/>
        </w:rPr>
      </w:pPr>
    </w:p>
    <w:p>
      <w:pPr>
        <w:ind w:right="140" w:firstLine="509"/>
        <w:spacing w:after="0" w:line="249" w:lineRule="auto"/>
        <w:rPr>
          <w:sz w:val="20"/>
          <w:szCs w:val="20"/>
          <w:color w:val="auto"/>
        </w:rPr>
      </w:pPr>
      <w:r>
        <w:rPr>
          <w:rFonts w:ascii="Arial" w:cs="Arial" w:eastAsia="Arial" w:hAnsi="Arial"/>
          <w:sz w:val="18"/>
          <w:szCs w:val="18"/>
          <w:color w:val="auto"/>
        </w:rPr>
        <w:t>During the three and six months ended June 30, 2022, the Company recorded stock-based compensation of $0.8 million and $1.3 million related to the RSUs. During the three and six months ended June 30, 2021, the Company recorded no stock-based compensation related to the RSUs. As of June 30, 2022, there was $11.2 million of total unrecognized compensation cost related to the RSUs that is expected to be recognized over a weighted-average period of 3.3 years.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2021 Employee Stock Purchase Plan</w:t>
      </w:r>
    </w:p>
    <w:p>
      <w:pPr>
        <w:spacing w:after="0" w:line="104"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auto"/>
        </w:rPr>
        <w:t>In July 2021, the Board of Directors and stockholders also adopted and approved the 2021 Employee Stock Purchase Plan (the “ESPP”). The Company reserved 850,000 shares of common stock for future issuance under the ESPP.</w:t>
      </w:r>
    </w:p>
    <w:p>
      <w:pPr>
        <w:spacing w:after="0" w:line="76" w:lineRule="exact"/>
        <w:rPr>
          <w:sz w:val="20"/>
          <w:szCs w:val="20"/>
          <w:color w:val="auto"/>
        </w:rPr>
      </w:pPr>
    </w:p>
    <w:p>
      <w:pPr>
        <w:ind w:right="80" w:firstLine="509"/>
        <w:spacing w:after="0" w:line="245" w:lineRule="auto"/>
        <w:rPr>
          <w:sz w:val="20"/>
          <w:szCs w:val="20"/>
          <w:color w:val="auto"/>
        </w:rPr>
      </w:pPr>
      <w:r>
        <w:rPr>
          <w:rFonts w:ascii="Arial" w:cs="Arial" w:eastAsia="Arial" w:hAnsi="Arial"/>
          <w:sz w:val="18"/>
          <w:szCs w:val="18"/>
          <w:color w:val="auto"/>
        </w:rPr>
        <w:t>During the second quarter of fiscal year 2022, the Company's first six month offering period began, with the first purchase of shares to occur during the fourth quarter of fiscal year 2022. As of June 30, 2022, the Company has collected withholdings of $0.2 million for purchase of shares under the ESPP. The Company recorded $0.1 million of compensation expense for the three and six months ended June 30, 2022. There was no compensation expense associated with the Company's ESPP for the three and six months ended June 30, 2021. As of June 30, 2022, no shares of common stock have been purchased under the ESPP.</w:t>
      </w:r>
    </w:p>
    <w:p>
      <w:pPr>
        <w:spacing w:after="0" w:line="78"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The fair value of shares to be issued under the Company's 2021 ESPP was estimated using the Black-Scholes valuation model with the following assumptions for the three-months ended June 30, 2022: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40" w:type="dxa"/>
            <w:vAlign w:val="bottom"/>
            <w:gridSpan w:val="7"/>
          </w:tcPr>
          <w:p>
            <w:pPr>
              <w:jc w:val="right"/>
              <w:ind w:right="448"/>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6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4"/>
                <w:szCs w:val="14"/>
                <w:b w:val="1"/>
                <w:bCs w:val="1"/>
                <w:color w:val="auto"/>
                <w:w w:val="96"/>
              </w:rPr>
              <w:t>2022</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40" w:type="dxa"/>
            <w:vAlign w:val="bottom"/>
          </w:tcPr>
          <w:p>
            <w:pPr>
              <w:spacing w:after="0"/>
              <w:rPr>
                <w:sz w:val="18"/>
                <w:szCs w:val="18"/>
                <w:color w:val="auto"/>
              </w:rPr>
            </w:pPr>
          </w:p>
        </w:tc>
        <w:tc>
          <w:tcPr>
            <w:tcW w:w="2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1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center"/>
              <w:ind w:right="50"/>
              <w:spacing w:after="0"/>
              <w:rPr>
                <w:sz w:val="20"/>
                <w:szCs w:val="20"/>
                <w:color w:val="auto"/>
              </w:rPr>
            </w:pPr>
            <w:r>
              <w:rPr>
                <w:rFonts w:ascii="Arial" w:cs="Arial" w:eastAsia="Arial" w:hAnsi="Arial"/>
                <w:sz w:val="18"/>
                <w:szCs w:val="18"/>
                <w:color w:val="auto"/>
                <w:w w:val="85"/>
              </w:rPr>
              <w:t>0.50</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28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3"/>
          </w:tcPr>
          <w:p>
            <w:pPr>
              <w:jc w:val="center"/>
              <w:ind w:left="133"/>
              <w:spacing w:after="0"/>
              <w:rPr>
                <w:sz w:val="20"/>
                <w:szCs w:val="20"/>
                <w:color w:val="auto"/>
              </w:rPr>
            </w:pPr>
            <w:r>
              <w:rPr>
                <w:rFonts w:ascii="Arial" w:cs="Arial" w:eastAsia="Arial" w:hAnsi="Arial"/>
                <w:sz w:val="18"/>
                <w:szCs w:val="18"/>
                <w:color w:val="auto"/>
                <w:w w:val="88"/>
              </w:rPr>
              <w:t>76.50%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2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1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center"/>
              <w:ind w:left="133"/>
              <w:spacing w:after="0"/>
              <w:rPr>
                <w:sz w:val="20"/>
                <w:szCs w:val="20"/>
                <w:color w:val="auto"/>
              </w:rPr>
            </w:pPr>
            <w:r>
              <w:rPr>
                <w:rFonts w:ascii="Arial" w:cs="Arial" w:eastAsia="Arial" w:hAnsi="Arial"/>
                <w:sz w:val="18"/>
                <w:szCs w:val="18"/>
                <w:color w:val="auto"/>
                <w:w w:val="90"/>
              </w:rPr>
              <w:t>1.51%</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28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gridSpan w:val="2"/>
          </w:tcPr>
          <w:p>
            <w:pPr>
              <w:jc w:val="center"/>
              <w:ind w:right="5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4480" w:type="dxa"/>
            <w:vAlign w:val="bottom"/>
            <w:gridSpan w:val="2"/>
          </w:tcPr>
          <w:p>
            <w:pPr>
              <w:spacing w:after="0"/>
              <w:rPr>
                <w:sz w:val="20"/>
                <w:szCs w:val="20"/>
                <w:color w:val="auto"/>
              </w:rPr>
            </w:pPr>
            <w:r>
              <w:rPr>
                <w:rFonts w:ascii="Arial" w:cs="Arial" w:eastAsia="Arial" w:hAnsi="Arial"/>
                <w:sz w:val="18"/>
                <w:szCs w:val="18"/>
                <w:b w:val="1"/>
                <w:bCs w:val="1"/>
                <w:i w:val="1"/>
                <w:iCs w:val="1"/>
                <w:color w:val="231F20"/>
              </w:rPr>
              <w:t>Stock Based Compensation</w:t>
            </w: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40" w:type="dxa"/>
            <w:vAlign w:val="bottom"/>
            <w:gridSpan w:val="8"/>
          </w:tcPr>
          <w:p>
            <w:pPr>
              <w:ind w:left="520"/>
              <w:spacing w:after="0"/>
              <w:rPr>
                <w:sz w:val="20"/>
                <w:szCs w:val="20"/>
                <w:color w:val="auto"/>
              </w:rPr>
            </w:pPr>
            <w:r>
              <w:rPr>
                <w:rFonts w:ascii="Arial" w:cs="Arial" w:eastAsia="Arial" w:hAnsi="Arial"/>
                <w:sz w:val="18"/>
                <w:szCs w:val="18"/>
                <w:color w:val="auto"/>
              </w:rPr>
              <w:t>The following is a summary of stock-based compensation expense by function (in thousands):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6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0" w:type="dxa"/>
            <w:vAlign w:val="bottom"/>
            <w:gridSpan w:val="5"/>
          </w:tcPr>
          <w:p>
            <w:pPr>
              <w:jc w:val="center"/>
              <w:ind w:left="262"/>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80" w:type="dxa"/>
            <w:vAlign w:val="bottom"/>
            <w:gridSpan w:val="6"/>
          </w:tcPr>
          <w:p>
            <w:pPr>
              <w:jc w:val="right"/>
              <w:ind w:right="61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6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ind w:right="288"/>
              <w:spacing w:after="0"/>
              <w:rPr>
                <w:sz w:val="20"/>
                <w:szCs w:val="20"/>
                <w:color w:val="auto"/>
              </w:rPr>
            </w:pPr>
            <w:r>
              <w:rPr>
                <w:rFonts w:ascii="Arial" w:cs="Arial" w:eastAsia="Arial" w:hAnsi="Arial"/>
                <w:sz w:val="14"/>
                <w:szCs w:val="14"/>
                <w:b w:val="1"/>
                <w:bCs w:val="1"/>
                <w:color w:val="auto"/>
                <w:w w:val="92"/>
              </w:rPr>
              <w:t>June 30,</w:t>
            </w:r>
          </w:p>
        </w:tc>
        <w:tc>
          <w:tcPr>
            <w:tcW w:w="3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6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4"/>
                <w:szCs w:val="14"/>
                <w:color w:val="auto"/>
              </w:rPr>
            </w:pPr>
          </w:p>
        </w:tc>
        <w:tc>
          <w:tcPr>
            <w:tcW w:w="106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jc w:val="right"/>
              <w:ind w:right="7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Cost of goods sold</w:t>
            </w:r>
          </w:p>
        </w:tc>
        <w:tc>
          <w:tcPr>
            <w:tcW w:w="1360" w:type="dxa"/>
            <w:vAlign w:val="bottom"/>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ind w:right="54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410</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753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w:t>
            </w:r>
          </w:p>
        </w:tc>
        <w:tc>
          <w:tcPr>
            <w:tcW w:w="136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3,080</w:t>
            </w:r>
          </w:p>
        </w:tc>
        <w:tc>
          <w:tcPr>
            <w:tcW w:w="2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5,675</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gridSpan w:val="2"/>
          </w:tcPr>
          <w:p>
            <w:pPr>
              <w:ind w:left="200"/>
              <w:spacing w:after="0"/>
              <w:rPr>
                <w:sz w:val="20"/>
                <w:szCs w:val="20"/>
                <w:color w:val="auto"/>
              </w:rPr>
            </w:pPr>
            <w:r>
              <w:rPr>
                <w:rFonts w:ascii="Arial" w:cs="Arial" w:eastAsia="Arial" w:hAnsi="Arial"/>
                <w:sz w:val="18"/>
                <w:szCs w:val="18"/>
                <w:color w:val="auto"/>
              </w:rPr>
              <w:t>Total stock-based compensation expense</w:t>
            </w:r>
          </w:p>
        </w:tc>
        <w:tc>
          <w:tcPr>
            <w:tcW w:w="2080" w:type="dxa"/>
            <w:vAlign w:val="bottom"/>
            <w:gridSpan w:val="2"/>
          </w:tcPr>
          <w:p>
            <w:pPr>
              <w:jc w:val="right"/>
              <w:ind w:right="54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3,532</w:t>
            </w:r>
          </w:p>
        </w:tc>
        <w:tc>
          <w:tcPr>
            <w:tcW w:w="7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931</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6,506</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vMerge w:val="restart"/>
          </w:tcPr>
          <w:p>
            <w:pPr>
              <w:jc w:val="right"/>
              <w:ind w:right="30"/>
              <w:spacing w:after="0"/>
              <w:rPr>
                <w:sz w:val="20"/>
                <w:szCs w:val="20"/>
                <w:color w:val="auto"/>
              </w:rPr>
            </w:pPr>
            <w:r>
              <w:rPr>
                <w:rFonts w:ascii="Arial" w:cs="Arial" w:eastAsia="Arial" w:hAnsi="Arial"/>
                <w:sz w:val="18"/>
                <w:szCs w:val="18"/>
                <w:color w:val="auto"/>
              </w:rPr>
              <w:t>20</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16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640" w:type="dxa"/>
            <w:vAlign w:val="bottom"/>
            <w:tcBorders>
              <w:bottom w:val="single" w:sz="8" w:color="9A9A9A"/>
            </w:tcBorders>
          </w:tcPr>
          <w:p>
            <w:pPr>
              <w:spacing w:after="0"/>
              <w:rPr>
                <w:sz w:val="8"/>
                <w:szCs w:val="8"/>
                <w:color w:val="auto"/>
              </w:rPr>
            </w:pPr>
          </w:p>
        </w:tc>
        <w:tc>
          <w:tcPr>
            <w:tcW w:w="28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-719455</wp:posOffset>
            </wp:positionV>
            <wp:extent cx="768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-719455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-719455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231F20"/>
        </w:rPr>
        <w:t>Note 9. Net Loss per Share Attributable to Common Stockholders</w:t>
      </w:r>
    </w:p>
    <w:p>
      <w:pPr>
        <w:spacing w:after="0" w:line="108" w:lineRule="exact"/>
        <w:rPr>
          <w:sz w:val="20"/>
          <w:szCs w:val="20"/>
          <w:color w:val="auto"/>
        </w:rPr>
      </w:pPr>
    </w:p>
    <w:p>
      <w:pPr>
        <w:jc w:val="both"/>
        <w:ind w:right="60" w:firstLine="509"/>
        <w:spacing w:after="0" w:line="256" w:lineRule="auto"/>
        <w:rPr>
          <w:sz w:val="20"/>
          <w:szCs w:val="20"/>
          <w:color w:val="auto"/>
        </w:rPr>
      </w:pPr>
      <w:r>
        <w:rPr>
          <w:rFonts w:ascii="Arial" w:cs="Arial" w:eastAsia="Arial" w:hAnsi="Arial"/>
          <w:sz w:val="18"/>
          <w:szCs w:val="18"/>
          <w:color w:val="auto"/>
        </w:rPr>
        <w:t>Basic net loss per share is computed by dividing the net loss by the weighted-average number of common shares outstanding for the period. As the Company reported a net loss for the three and six months ended June 30, 2022 and 2021, basic net loss per share is the same as diluted net loss per share as the inclusion of potentially dilutive shares would have been antidilutive if included in the calculation.</w:t>
      </w:r>
    </w:p>
    <w:p>
      <w:pPr>
        <w:spacing w:after="0" w:line="175"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share and per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(23,843 )</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(17,615 )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(47,106 )</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(29,855 )</w:t>
            </w: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Denominator:</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900" w:type="dxa"/>
            <w:vAlign w:val="bottom"/>
          </w:tcPr>
          <w:p>
            <w:pPr>
              <w:ind w:left="200"/>
              <w:spacing w:after="0" w:line="175" w:lineRule="exact"/>
              <w:rPr>
                <w:sz w:val="20"/>
                <w:szCs w:val="20"/>
                <w:color w:val="auto"/>
              </w:rPr>
            </w:pPr>
            <w:r>
              <w:rPr>
                <w:rFonts w:ascii="Arial" w:cs="Arial" w:eastAsia="Arial" w:hAnsi="Arial"/>
                <w:sz w:val="18"/>
                <w:szCs w:val="18"/>
                <w:color w:val="auto"/>
              </w:rPr>
              <w:t>Weighted-average shares of common stock</w:t>
            </w:r>
          </w:p>
        </w:tc>
        <w:tc>
          <w:tcPr>
            <w:tcW w:w="3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47,701,451</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9,610,408</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47,635,840</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9,564,096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900" w:type="dxa"/>
            <w:vAlign w:val="bottom"/>
          </w:tcPr>
          <w:p>
            <w:pPr>
              <w:ind w:left="340"/>
              <w:spacing w:after="0"/>
              <w:rPr>
                <w:sz w:val="20"/>
                <w:szCs w:val="20"/>
                <w:color w:val="auto"/>
              </w:rPr>
            </w:pPr>
            <w:r>
              <w:rPr>
                <w:rFonts w:ascii="Arial" w:cs="Arial" w:eastAsia="Arial" w:hAnsi="Arial"/>
                <w:sz w:val="18"/>
                <w:szCs w:val="18"/>
                <w:color w:val="auto"/>
              </w:rPr>
              <w:t>outstanding—basic and diluted</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900" w:type="dxa"/>
            <w:vAlign w:val="bottom"/>
            <w:shd w:val="clear" w:color="auto" w:fill="CFF0FC"/>
          </w:tcPr>
          <w:p>
            <w:pPr>
              <w:ind w:left="200"/>
              <w:spacing w:after="0" w:line="168" w:lineRule="exact"/>
              <w:rPr>
                <w:sz w:val="20"/>
                <w:szCs w:val="20"/>
                <w:color w:val="auto"/>
              </w:rPr>
            </w:pPr>
            <w:r>
              <w:rPr>
                <w:rFonts w:ascii="Arial" w:cs="Arial" w:eastAsia="Arial" w:hAnsi="Arial"/>
                <w:sz w:val="18"/>
                <w:szCs w:val="18"/>
                <w:color w:val="auto"/>
              </w:rPr>
              <w:t>Net loss per share attributable to common</w:t>
            </w:r>
          </w:p>
        </w:tc>
        <w:tc>
          <w:tcPr>
            <w:tcW w:w="32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(0.50 )</w:t>
            </w:r>
          </w:p>
        </w:tc>
        <w:tc>
          <w:tcPr>
            <w:tcW w:w="540" w:type="dxa"/>
            <w:vAlign w:val="bottom"/>
            <w:vMerge w:val="restart"/>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(1.83 )</w:t>
            </w:r>
          </w:p>
        </w:tc>
        <w:tc>
          <w:tcPr>
            <w:tcW w:w="32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(0.99 )</w:t>
            </w:r>
          </w:p>
        </w:tc>
        <w:tc>
          <w:tcPr>
            <w:tcW w:w="500" w:type="dxa"/>
            <w:vAlign w:val="bottom"/>
            <w:vMerge w:val="restart"/>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(3.12 )</w:t>
            </w:r>
          </w:p>
        </w:tc>
        <w:tc>
          <w:tcPr>
            <w:tcW w:w="0" w:type="dxa"/>
            <w:vAlign w:val="bottom"/>
          </w:tcPr>
          <w:p>
            <w:pPr>
              <w:spacing w:after="0"/>
              <w:rPr>
                <w:sz w:val="1"/>
                <w:szCs w:val="1"/>
                <w:color w:val="auto"/>
              </w:rPr>
            </w:pPr>
          </w:p>
        </w:tc>
      </w:tr>
      <w:tr>
        <w:trPr>
          <w:trHeight w:val="210"/>
        </w:trPr>
        <w:tc>
          <w:tcPr>
            <w:tcW w:w="4900" w:type="dxa"/>
            <w:vAlign w:val="bottom"/>
            <w:shd w:val="clear" w:color="auto" w:fill="CFF0FC"/>
          </w:tcPr>
          <w:p>
            <w:pPr>
              <w:ind w:left="340"/>
              <w:spacing w:after="0" w:line="190" w:lineRule="exact"/>
              <w:rPr>
                <w:sz w:val="20"/>
                <w:szCs w:val="20"/>
                <w:color w:val="auto"/>
              </w:rPr>
            </w:pPr>
            <w:r>
              <w:rPr>
                <w:rFonts w:ascii="Arial" w:cs="Arial" w:eastAsia="Arial" w:hAnsi="Arial"/>
                <w:sz w:val="18"/>
                <w:szCs w:val="18"/>
                <w:color w:val="auto"/>
              </w:rPr>
              <w:t>stockholders—basic and diluted</w:t>
            </w:r>
          </w:p>
        </w:tc>
        <w:tc>
          <w:tcPr>
            <w:tcW w:w="320" w:type="dxa"/>
            <w:vAlign w:val="bottom"/>
            <w:vMerge w:val="continue"/>
            <w:shd w:val="clear" w:color="auto" w:fill="CFF0FC"/>
          </w:tcPr>
          <w:p>
            <w:pPr>
              <w:spacing w:after="0"/>
              <w:rPr>
                <w:sz w:val="18"/>
                <w:szCs w:val="18"/>
                <w:color w:val="auto"/>
              </w:rPr>
            </w:pPr>
          </w:p>
        </w:tc>
        <w:tc>
          <w:tcPr>
            <w:tcW w:w="1320" w:type="dxa"/>
            <w:vAlign w:val="bottom"/>
            <w:gridSpan w:val="2"/>
            <w:vMerge w:val="continue"/>
            <w:shd w:val="clear" w:color="auto" w:fill="CFF0FC"/>
          </w:tcPr>
          <w:p>
            <w:pPr>
              <w:spacing w:after="0"/>
              <w:rPr>
                <w:sz w:val="18"/>
                <w:szCs w:val="18"/>
                <w:color w:val="auto"/>
              </w:rPr>
            </w:pPr>
          </w:p>
        </w:tc>
        <w:tc>
          <w:tcPr>
            <w:tcW w:w="540" w:type="dxa"/>
            <w:vAlign w:val="bottom"/>
            <w:vMerge w:val="continue"/>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320" w:type="dxa"/>
            <w:vAlign w:val="bottom"/>
            <w:vMerge w:val="continue"/>
            <w:shd w:val="clear" w:color="auto" w:fill="CFF0FC"/>
          </w:tcPr>
          <w:p>
            <w:pPr>
              <w:spacing w:after="0"/>
              <w:rPr>
                <w:sz w:val="18"/>
                <w:szCs w:val="18"/>
                <w:color w:val="auto"/>
              </w:rPr>
            </w:pPr>
          </w:p>
        </w:tc>
        <w:tc>
          <w:tcPr>
            <w:tcW w:w="1260" w:type="dxa"/>
            <w:vAlign w:val="bottom"/>
            <w:gridSpan w:val="2"/>
            <w:vMerge w:val="continue"/>
            <w:shd w:val="clear" w:color="auto" w:fill="CFF0FC"/>
          </w:tcPr>
          <w:p>
            <w:pPr>
              <w:spacing w:after="0"/>
              <w:rPr>
                <w:sz w:val="18"/>
                <w:szCs w:val="18"/>
                <w:color w:val="auto"/>
              </w:rPr>
            </w:pPr>
          </w:p>
        </w:tc>
        <w:tc>
          <w:tcPr>
            <w:tcW w:w="500" w:type="dxa"/>
            <w:vAlign w:val="bottom"/>
            <w:vMerge w:val="continue"/>
            <w:shd w:val="clear" w:color="auto" w:fill="CFF0FC"/>
          </w:tcPr>
          <w:p>
            <w:pPr>
              <w:spacing w:after="0"/>
              <w:rPr>
                <w:sz w:val="18"/>
                <w:szCs w:val="18"/>
                <w:color w:val="auto"/>
              </w:rPr>
            </w:pPr>
          </w:p>
        </w:tc>
        <w:tc>
          <w:tcPr>
            <w:tcW w:w="9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-25400</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-25400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6"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 presented because including them would have been antidilutive:</w:t>
      </w:r>
    </w:p>
    <w:p>
      <w:pPr>
        <w:spacing w:after="0" w:line="256" w:lineRule="exact"/>
        <w:rPr>
          <w:sz w:val="20"/>
          <w:szCs w:val="20"/>
          <w:color w:val="auto"/>
        </w:rPr>
      </w:pPr>
    </w:p>
    <w:p>
      <w:pPr>
        <w:ind w:left="8960"/>
        <w:spacing w:after="0"/>
        <w:rPr>
          <w:sz w:val="20"/>
          <w:szCs w:val="20"/>
          <w:color w:val="auto"/>
        </w:rPr>
      </w:pPr>
      <w:r>
        <w:rPr>
          <w:rFonts w:ascii="Arial" w:cs="Arial" w:eastAsia="Arial" w:hAnsi="Arial"/>
          <w:sz w:val="14"/>
          <w:szCs w:val="14"/>
          <w:b w:val="1"/>
          <w:bCs w:val="1"/>
          <w:color w:val="auto"/>
        </w:rPr>
        <w:t>June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280" w:type="dxa"/>
            <w:vAlign w:val="bottom"/>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top w:val="single" w:sz="8" w:color="auto"/>
            </w:tcBorders>
          </w:tcPr>
          <w:p>
            <w:pPr>
              <w:spacing w:after="0"/>
              <w:rPr>
                <w:sz w:val="14"/>
                <w:szCs w:val="14"/>
                <w:color w:val="auto"/>
              </w:rPr>
            </w:pPr>
          </w:p>
        </w:tc>
        <w:tc>
          <w:tcPr>
            <w:tcW w:w="2080" w:type="dxa"/>
            <w:vAlign w:val="bottom"/>
            <w:tcBorders>
              <w:top w:val="single" w:sz="8" w:color="auto"/>
            </w:tcBorders>
            <w:gridSpan w:val="2"/>
          </w:tcPr>
          <w:p>
            <w:pPr>
              <w:jc w:val="right"/>
              <w:ind w:right="67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to purchase common stock</w:t>
            </w:r>
          </w:p>
        </w:tc>
        <w:tc>
          <w:tcPr>
            <w:tcW w:w="10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5,709,691</w:t>
            </w:r>
          </w:p>
        </w:tc>
        <w:tc>
          <w:tcPr>
            <w:tcW w:w="280" w:type="dxa"/>
            <w:vAlign w:val="bottom"/>
            <w:shd w:val="clear" w:color="auto" w:fill="CFF0FC"/>
          </w:tcPr>
          <w:p>
            <w:pPr>
              <w:spacing w:after="0"/>
              <w:rPr>
                <w:sz w:val="18"/>
                <w:szCs w:val="18"/>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5,185,736</w:t>
            </w:r>
          </w:p>
        </w:tc>
        <w:tc>
          <w:tcPr>
            <w:tcW w:w="100" w:type="dxa"/>
            <w:vAlign w:val="bottom"/>
            <w:shd w:val="clear" w:color="auto" w:fill="CFF0FC"/>
          </w:tcPr>
          <w:p>
            <w:pPr>
              <w:spacing w:after="0"/>
              <w:rPr>
                <w:sz w:val="18"/>
                <w:szCs w:val="18"/>
                <w:color w:val="auto"/>
              </w:rPr>
            </w:pPr>
          </w:p>
        </w:tc>
      </w:tr>
      <w:tr>
        <w:trPr>
          <w:trHeight w:val="216"/>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Restricted stock units</w:t>
            </w:r>
          </w:p>
        </w:tc>
        <w:tc>
          <w:tcPr>
            <w:tcW w:w="740" w:type="dxa"/>
            <w:vAlign w:val="bottom"/>
          </w:tcPr>
          <w:p>
            <w:pPr>
              <w:jc w:val="right"/>
              <w:spacing w:after="0"/>
              <w:rPr>
                <w:sz w:val="20"/>
                <w:szCs w:val="20"/>
                <w:color w:val="auto"/>
              </w:rPr>
            </w:pPr>
            <w:r>
              <w:rPr>
                <w:rFonts w:ascii="Arial" w:cs="Arial" w:eastAsia="Arial" w:hAnsi="Arial"/>
                <w:sz w:val="18"/>
                <w:szCs w:val="18"/>
                <w:color w:val="auto"/>
              </w:rPr>
              <w:t>766,598</w:t>
            </w:r>
          </w:p>
        </w:tc>
        <w:tc>
          <w:tcPr>
            <w:tcW w:w="2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8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Redeemable convertible preferred stock</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12,767,202</w:t>
            </w:r>
          </w:p>
        </w:tc>
        <w:tc>
          <w:tcPr>
            <w:tcW w:w="100" w:type="dxa"/>
            <w:vAlign w:val="bottom"/>
            <w:shd w:val="clear" w:color="auto" w:fill="CFF0FC"/>
          </w:tcPr>
          <w:p>
            <w:pPr>
              <w:spacing w:after="0"/>
              <w:rPr>
                <w:sz w:val="18"/>
                <w:szCs w:val="18"/>
                <w:color w:val="auto"/>
              </w:rPr>
            </w:pPr>
          </w:p>
        </w:tc>
      </w:tr>
      <w:tr>
        <w:trPr>
          <w:trHeight w:val="216"/>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Redeemable convertible preferred stock warrants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329,514</w:t>
            </w:r>
          </w:p>
        </w:tc>
        <w:tc>
          <w:tcPr>
            <w:tcW w:w="100" w:type="dxa"/>
            <w:vAlign w:val="bottom"/>
          </w:tcPr>
          <w:p>
            <w:pPr>
              <w:spacing w:after="0"/>
              <w:rPr>
                <w:sz w:val="18"/>
                <w:szCs w:val="18"/>
                <w:color w:val="auto"/>
              </w:rPr>
            </w:pPr>
          </w:p>
        </w:tc>
      </w:tr>
      <w:tr>
        <w:trPr>
          <w:trHeight w:val="249"/>
        </w:trPr>
        <w:tc>
          <w:tcPr>
            <w:tcW w:w="7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6,476,289</w:t>
            </w:r>
          </w:p>
        </w:tc>
        <w:tc>
          <w:tcPr>
            <w:tcW w:w="280" w:type="dxa"/>
            <w:vAlign w:val="bottom"/>
            <w:tcBorders>
              <w:bottom w:val="single" w:sz="8" w:color="CFF0FC"/>
            </w:tcBorders>
            <w:shd w:val="clear" w:color="auto" w:fill="CFF0FC"/>
          </w:tcPr>
          <w:p>
            <w:pPr>
              <w:spacing w:after="0"/>
              <w:rPr>
                <w:sz w:val="21"/>
                <w:szCs w:val="21"/>
                <w:color w:val="auto"/>
              </w:rPr>
            </w:pP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18,282,452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-25400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10. Defined Contribution Plan</w:t>
      </w:r>
    </w:p>
    <w:p>
      <w:pPr>
        <w:spacing w:after="0" w:line="121" w:lineRule="exact"/>
        <w:rPr>
          <w:sz w:val="20"/>
          <w:szCs w:val="20"/>
          <w:color w:val="auto"/>
        </w:rPr>
      </w:pPr>
    </w:p>
    <w:p>
      <w:pPr>
        <w:ind w:right="60" w:firstLine="509"/>
        <w:spacing w:after="0" w:line="268" w:lineRule="auto"/>
        <w:rPr>
          <w:sz w:val="20"/>
          <w:szCs w:val="20"/>
          <w:color w:val="auto"/>
        </w:rPr>
      </w:pPr>
      <w:r>
        <w:rPr>
          <w:rFonts w:ascii="Arial" w:cs="Arial" w:eastAsia="Arial" w:hAnsi="Arial"/>
          <w:sz w:val="17"/>
          <w:szCs w:val="17"/>
          <w:color w:val="auto"/>
        </w:rPr>
        <w:t>The Company sponsors a defined contribution plan under Section 401(k) of the IRC of 1986, as amended, covering substantially all of its full-time US employees. Participating employees may contribute up to 100% of their eligible compensation up to the annual Internal Revenue Service’s contribution limit. For the three and six months ended June 30, 2022, the Company matched employee contributions in the amount of $0.1 million and $0.3 million, respectively. The Company did not match employee contributions during the three and six months ended June 30, 2021.</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11. Segment Information</w:t>
      </w:r>
    </w:p>
    <w:p>
      <w:pPr>
        <w:spacing w:after="0" w:line="108"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The Company has two reportable operating segments which are determined on the basis of product portfolio: Surgical Glaucoma and Dry Eye. The operating and reportable segments were determined based on how the Company’s Chief Executive Officer, its Chief Operating Decision Maker (“CODM”), views and evaluates the Company’s operations. The CODM allocates resources to and evaluates the financial performance of each operating segment primarily based on gross profit and gross profit margin.</w:t>
      </w:r>
    </w:p>
    <w:p>
      <w:pPr>
        <w:spacing w:after="0" w:line="194" w:lineRule="exact"/>
        <w:rPr>
          <w:sz w:val="20"/>
          <w:szCs w:val="20"/>
          <w:color w:val="auto"/>
        </w:rPr>
      </w:pPr>
    </w:p>
    <w:p>
      <w:pPr>
        <w:ind w:right="20" w:firstLine="509"/>
        <w:spacing w:after="0" w:line="324" w:lineRule="auto"/>
        <w:rPr>
          <w:sz w:val="20"/>
          <w:szCs w:val="20"/>
          <w:color w:val="auto"/>
        </w:rPr>
      </w:pPr>
      <w:r>
        <w:rPr>
          <w:rFonts w:ascii="Arial" w:cs="Arial" w:eastAsia="Arial" w:hAnsi="Arial"/>
          <w:sz w:val="16"/>
          <w:szCs w:val="16"/>
          <w:color w:val="auto"/>
        </w:rPr>
        <w:t>Surgical Glaucoma segment includes sales of the Company’s OMNI® Surgical System for use in minimally invasive glaucoma procedures. Dry Eye segment includes sales of the Company’s TearCare® System and related components and accessories for use in the treatment of Dry Eye Disease.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color w:val="auto"/>
        </w:rPr>
        <w:t>The following table summarizes select operating results information for each reportable segment (dollars in thousands):</w:t>
      </w:r>
    </w:p>
    <w:p>
      <w:pPr>
        <w:spacing w:after="0" w:line="31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4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7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4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Surgical Glaucoma</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15,899</w:t>
            </w:r>
          </w:p>
        </w:tc>
        <w:tc>
          <w:tcPr>
            <w:tcW w:w="2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11,988</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29,770</w:t>
            </w:r>
          </w:p>
        </w:tc>
        <w:tc>
          <w:tcPr>
            <w:tcW w:w="24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20,127</w:t>
            </w:r>
          </w:p>
        </w:tc>
        <w:tc>
          <w:tcPr>
            <w:tcW w:w="100" w:type="dxa"/>
            <w:vAlign w:val="bottom"/>
          </w:tcPr>
          <w:p>
            <w:pPr>
              <w:spacing w:after="0"/>
              <w:rPr>
                <w:sz w:val="18"/>
                <w:szCs w:val="18"/>
                <w:color w:val="auto"/>
              </w:rPr>
            </w:pPr>
          </w:p>
        </w:tc>
      </w:tr>
      <w:tr>
        <w:trPr>
          <w:trHeight w:val="216"/>
        </w:trPr>
        <w:tc>
          <w:tcPr>
            <w:tcW w:w="47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Dry Eye</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2,341</w:t>
            </w:r>
          </w:p>
        </w:tc>
        <w:tc>
          <w:tcPr>
            <w:tcW w:w="2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740" w:type="dxa"/>
            <w:vAlign w:val="bottom"/>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17,229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12,535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32,111</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21,170</w:t>
            </w:r>
          </w:p>
        </w:tc>
        <w:tc>
          <w:tcPr>
            <w:tcW w:w="10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goods sold</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Surgical Glaucoma</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3,440</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3,631</w:t>
            </w:r>
          </w:p>
        </w:tc>
        <w:tc>
          <w:tcPr>
            <w:tcW w:w="100" w:type="dxa"/>
            <w:vAlign w:val="bottom"/>
          </w:tcPr>
          <w:p>
            <w:pPr>
              <w:spacing w:after="0"/>
              <w:rPr>
                <w:sz w:val="18"/>
                <w:szCs w:val="18"/>
                <w:color w:val="auto"/>
              </w:rPr>
            </w:pPr>
          </w:p>
        </w:tc>
      </w:tr>
      <w:tr>
        <w:trPr>
          <w:trHeight w:val="216"/>
        </w:trPr>
        <w:tc>
          <w:tcPr>
            <w:tcW w:w="47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Dry Eye</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2,328</w:t>
            </w:r>
          </w:p>
        </w:tc>
        <w:tc>
          <w:tcPr>
            <w:tcW w:w="2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740" w:type="dxa"/>
            <w:vAlign w:val="bottom"/>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2,736</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5,768</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4,606</w:t>
            </w:r>
          </w:p>
        </w:tc>
        <w:tc>
          <w:tcPr>
            <w:tcW w:w="10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Surgical Glaucoma</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13,950</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10,215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26,330</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16,496</w:t>
            </w:r>
          </w:p>
        </w:tc>
        <w:tc>
          <w:tcPr>
            <w:tcW w:w="100" w:type="dxa"/>
            <w:vAlign w:val="bottom"/>
          </w:tcPr>
          <w:p>
            <w:pPr>
              <w:spacing w:after="0"/>
              <w:rPr>
                <w:sz w:val="18"/>
                <w:szCs w:val="18"/>
                <w:color w:val="auto"/>
              </w:rPr>
            </w:pPr>
          </w:p>
        </w:tc>
      </w:tr>
      <w:tr>
        <w:trPr>
          <w:trHeight w:val="216"/>
        </w:trPr>
        <w:tc>
          <w:tcPr>
            <w:tcW w:w="47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Dry Eye</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740" w:type="dxa"/>
            <w:vAlign w:val="bottom"/>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14,493</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10,230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26,343</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16,564</w:t>
            </w:r>
          </w:p>
        </w:tc>
        <w:tc>
          <w:tcPr>
            <w:tcW w:w="100" w:type="dxa"/>
            <w:vAlign w:val="bottom"/>
          </w:tcPr>
          <w:p>
            <w:pPr>
              <w:spacing w:after="0"/>
              <w:rPr>
                <w:sz w:val="18"/>
                <w:szCs w:val="18"/>
                <w:color w:val="auto"/>
              </w:rPr>
            </w:pPr>
          </w:p>
        </w:tc>
      </w:tr>
      <w:tr>
        <w:trPr>
          <w:trHeight w:val="216"/>
        </w:trPr>
        <w:tc>
          <w:tcPr>
            <w:tcW w:w="47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Operating expense</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37,357</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21,306</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71,399</w:t>
            </w:r>
          </w:p>
        </w:tc>
        <w:tc>
          <w:tcPr>
            <w:tcW w:w="2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74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320" w:type="dxa"/>
            <w:vAlign w:val="bottom"/>
          </w:tcPr>
          <w:p>
            <w:pPr>
              <w:spacing w:after="0"/>
              <w:rPr>
                <w:sz w:val="18"/>
                <w:szCs w:val="18"/>
                <w:color w:val="auto"/>
              </w:rPr>
            </w:pPr>
          </w:p>
        </w:tc>
        <w:tc>
          <w:tcPr>
            <w:tcW w:w="1340" w:type="dxa"/>
            <w:vAlign w:val="bottom"/>
            <w:gridSpan w:val="2"/>
          </w:tcPr>
          <w:p>
            <w:pPr>
              <w:jc w:val="right"/>
              <w:ind w:right="110"/>
              <w:spacing w:after="0"/>
              <w:rPr>
                <w:sz w:val="20"/>
                <w:szCs w:val="20"/>
                <w:color w:val="auto"/>
              </w:rPr>
            </w:pPr>
            <w:r>
              <w:rPr>
                <w:rFonts w:ascii="Arial" w:cs="Arial" w:eastAsia="Arial" w:hAnsi="Arial"/>
                <w:sz w:val="18"/>
                <w:szCs w:val="18"/>
                <w:color w:val="auto"/>
              </w:rPr>
              <w:t>(22,864 )</w:t>
            </w:r>
          </w:p>
        </w:tc>
        <w:tc>
          <w:tcPr>
            <w:tcW w:w="52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(11,076 )</w:t>
            </w:r>
          </w:p>
        </w:tc>
        <w:tc>
          <w:tcPr>
            <w:tcW w:w="320" w:type="dxa"/>
            <w:vAlign w:val="bottom"/>
          </w:tcPr>
          <w:p>
            <w:pPr>
              <w:spacing w:after="0"/>
              <w:rPr>
                <w:sz w:val="18"/>
                <w:szCs w:val="18"/>
                <w:color w:val="auto"/>
              </w:rPr>
            </w:pPr>
          </w:p>
        </w:tc>
        <w:tc>
          <w:tcPr>
            <w:tcW w:w="1300" w:type="dxa"/>
            <w:vAlign w:val="bottom"/>
            <w:gridSpan w:val="2"/>
          </w:tcPr>
          <w:p>
            <w:pPr>
              <w:jc w:val="right"/>
              <w:ind w:right="101"/>
              <w:spacing w:after="0"/>
              <w:rPr>
                <w:sz w:val="20"/>
                <w:szCs w:val="20"/>
                <w:color w:val="auto"/>
              </w:rPr>
            </w:pPr>
            <w:r>
              <w:rPr>
                <w:rFonts w:ascii="Arial" w:cs="Arial" w:eastAsia="Arial" w:hAnsi="Arial"/>
                <w:sz w:val="18"/>
                <w:szCs w:val="18"/>
                <w:color w:val="auto"/>
              </w:rPr>
              <w:t>(45,056 )</w:t>
            </w:r>
          </w:p>
        </w:tc>
        <w:tc>
          <w:tcPr>
            <w:tcW w:w="4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(22,732 )</w:t>
            </w:r>
          </w:p>
        </w:tc>
      </w:tr>
      <w:tr>
        <w:trPr>
          <w:trHeight w:val="216"/>
        </w:trPr>
        <w:tc>
          <w:tcPr>
            <w:tcW w:w="4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(1,065 )</w:t>
            </w:r>
          </w:p>
        </w:tc>
        <w:tc>
          <w:tcPr>
            <w:tcW w:w="5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(1,082 )</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(2,112 )</w:t>
            </w:r>
          </w:p>
        </w:tc>
        <w:tc>
          <w:tcPr>
            <w:tcW w:w="4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(2,166 )</w:t>
            </w: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(5,435 )</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(4,883 )</w:t>
            </w:r>
          </w:p>
        </w:tc>
      </w:tr>
      <w:tr>
        <w:trPr>
          <w:trHeight w:val="249"/>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Loss before income tax</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(23,834</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(17,593</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(47,088</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(29,781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-1988185</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-1988185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-1988185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-1988185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-1430655</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-1430655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-1430655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-1430655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-873760</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-873760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-873760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-873760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-591185</wp:posOffset>
            </wp:positionV>
            <wp:extent cx="768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-591185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-591185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-591185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-25400</wp:posOffset>
            </wp:positionV>
            <wp:extent cx="768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-25400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6"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The Company does not allocate any income and expenses beyond revenue and cost of goods sold to the reportable operating segments in its reporting to the CODM. No asset information is provided for reportable operating segments because they are not reviewed by the CODM on segment basis. Substantially all of the Company’s revenue is generated from sales in the United States, and none of its property and equipment is located outside the United States.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12. Subsequent Events</w:t>
      </w:r>
    </w:p>
    <w:p>
      <w:pPr>
        <w:spacing w:after="0" w:line="108"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The Company evaluated subsequent events through August 11, 2022, the date on which the condensed consolidated financial statements were available for issuance.</w:t>
      </w:r>
    </w:p>
    <w:p>
      <w:pPr>
        <w:spacing w:after="0" w:line="63" w:lineRule="exact"/>
        <w:rPr>
          <w:sz w:val="20"/>
          <w:szCs w:val="20"/>
          <w:color w:val="auto"/>
        </w:rPr>
      </w:pPr>
    </w:p>
    <w:p>
      <w:pPr>
        <w:ind w:firstLine="509"/>
        <w:spacing w:after="0" w:line="278" w:lineRule="auto"/>
        <w:rPr>
          <w:sz w:val="20"/>
          <w:szCs w:val="20"/>
          <w:color w:val="auto"/>
        </w:rPr>
      </w:pPr>
      <w:r>
        <w:rPr>
          <w:rFonts w:ascii="Arial" w:cs="Arial" w:eastAsia="Arial" w:hAnsi="Arial"/>
          <w:sz w:val="17"/>
          <w:szCs w:val="17"/>
          <w:color w:val="auto"/>
        </w:rPr>
        <w:t>In July 2022, the Company undertook a plan to improve cost efficiencies and better align its operating structure for long-term, profitable growth. One of the components of this plan was a reduction in workforce which resulted in the incurrence of approximately $1.0 million in expense during the third quarter for severance and related payments to employees. The reduction in workforce was completed in the third quarter of 2022.</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the related notes and other financial information included in this Quarterly Report on Form 10-Q and our audited financial statements and related notes as disclosed in our 2021 Form 10-K .</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80" w:firstLine="509"/>
        <w:spacing w:after="0" w:line="268" w:lineRule="auto"/>
        <w:rPr>
          <w:sz w:val="20"/>
          <w:szCs w:val="20"/>
          <w:color w:val="auto"/>
        </w:rPr>
      </w:pPr>
      <w:r>
        <w:rPr>
          <w:rFonts w:ascii="Arial" w:cs="Arial" w:eastAsia="Arial" w:hAnsi="Arial"/>
          <w:sz w:val="17"/>
          <w:szCs w:val="17"/>
          <w:color w:val="auto"/>
        </w:rPr>
        <w:t>Sight Sciences’ mission is to transform ophthalmology and optometry through the development and commercialization of proprietary devices that target the underlying causes of the world’s most prevalent eye diseases. We are passionate about improving patients’ lives. Our objective is to develop and market products for use in new treatment paradigms and to create an interventional mindset in eyecare whereby our products may be used in procedures which supplant conventional outdated approaches. Our business philosophy is grounded in the following principles:</w:t>
      </w:r>
    </w:p>
    <w:p>
      <w:pPr>
        <w:spacing w:after="0" w:line="58" w:lineRule="exact"/>
        <w:rPr>
          <w:sz w:val="20"/>
          <w:szCs w:val="20"/>
          <w:color w:val="auto"/>
        </w:rPr>
      </w:pPr>
    </w:p>
    <w:p>
      <w:pPr>
        <w:ind w:left="1020" w:hanging="503"/>
        <w:spacing w:after="0"/>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comprehensively understand disease physiology,</w:t>
      </w:r>
    </w:p>
    <w:p>
      <w:pPr>
        <w:spacing w:after="0" w:line="103" w:lineRule="exact"/>
        <w:rPr>
          <w:rFonts w:ascii="Arial" w:cs="Arial" w:eastAsia="Arial" w:hAnsi="Arial"/>
          <w:sz w:val="18"/>
          <w:szCs w:val="18"/>
          <w:color w:val="231F20"/>
        </w:rPr>
      </w:pPr>
    </w:p>
    <w:p>
      <w:pPr>
        <w:ind w:left="1020" w:hanging="503"/>
        <w:spacing w:after="0"/>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develop products that are intended to restore natural physiological functionality to diseased eyes;</w:t>
      </w:r>
    </w:p>
    <w:p>
      <w:pPr>
        <w:spacing w:after="0" w:line="117" w:lineRule="exact"/>
        <w:rPr>
          <w:rFonts w:ascii="Arial" w:cs="Arial" w:eastAsia="Arial" w:hAnsi="Arial"/>
          <w:sz w:val="18"/>
          <w:szCs w:val="18"/>
          <w:color w:val="231F20"/>
        </w:rPr>
      </w:pPr>
    </w:p>
    <w:p>
      <w:pPr>
        <w:ind w:left="1020" w:right="80" w:hanging="503"/>
        <w:spacing w:after="0" w:line="261" w:lineRule="auto"/>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develop and market products that achieve superior effectiveness versus current treatment paradigms while minimizing complications or side effects,</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provide intuitive, patient friendly solutions to ophthalmologists and optometrists; and</w:t>
      </w:r>
    </w:p>
    <w:p>
      <w:pPr>
        <w:spacing w:after="0" w:line="117" w:lineRule="exact"/>
        <w:rPr>
          <w:rFonts w:ascii="Arial" w:cs="Arial" w:eastAsia="Arial" w:hAnsi="Arial"/>
          <w:sz w:val="18"/>
          <w:szCs w:val="18"/>
          <w:color w:val="231F20"/>
        </w:rPr>
      </w:pPr>
    </w:p>
    <w:p>
      <w:pPr>
        <w:ind w:left="1020" w:hanging="503"/>
        <w:spacing w:after="0" w:line="261" w:lineRule="auto"/>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deliver compelling economic value to all stakeholders, including patients, providers and third-party payors such as Medicare and commercial insurers</w:t>
      </w:r>
    </w:p>
    <w:p>
      <w:pPr>
        <w:spacing w:after="0" w:line="63" w:lineRule="exact"/>
        <w:rPr>
          <w:sz w:val="20"/>
          <w:szCs w:val="20"/>
          <w:color w:val="auto"/>
        </w:rPr>
      </w:pPr>
    </w:p>
    <w:p>
      <w:pPr>
        <w:ind w:right="20" w:firstLine="554"/>
        <w:spacing w:after="0" w:line="251" w:lineRule="auto"/>
        <w:rPr>
          <w:sz w:val="20"/>
          <w:szCs w:val="20"/>
          <w:color w:val="auto"/>
        </w:rPr>
      </w:pPr>
      <w:r>
        <w:rPr>
          <w:rFonts w:ascii="Arial" w:cs="Arial" w:eastAsia="Arial" w:hAnsi="Arial"/>
          <w:sz w:val="17"/>
          <w:szCs w:val="17"/>
          <w:color w:val="auto"/>
        </w:rPr>
        <w:t>Our initial product development has focused on the treatment of two of the world’s most prevalent and underserved eye diseases, glaucoma and dry eye disease. We have commercialized products in each of our two reportable segments; Surgical Glaucoma and Dry Eye. Our Surgical Glaucoma segment consists of sales of the OMNI</w:t>
      </w:r>
      <w:r>
        <w:rPr>
          <w:rFonts w:ascii="Arial" w:cs="Arial" w:eastAsia="Arial" w:hAnsi="Arial"/>
          <w:sz w:val="23"/>
          <w:szCs w:val="23"/>
          <w:color w:val="auto"/>
          <w:vertAlign w:val="superscript"/>
        </w:rPr>
        <w:t>®</w:t>
      </w:r>
      <w:r>
        <w:rPr>
          <w:rFonts w:ascii="Arial" w:cs="Arial" w:eastAsia="Arial" w:hAnsi="Arial"/>
          <w:sz w:val="17"/>
          <w:szCs w:val="17"/>
          <w:color w:val="auto"/>
        </w:rPr>
        <w:t xml:space="preserve"> Surgical System and our Dry Eye segment includes sales of the TearCare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System ("TearCare"), and related components and accessories. Both systems are primarily sold through a highly-involved direct sales model that offers intensive education, training and customer service. We believe this philosophy and model not only enables us to differentiate our products and our overall company from competitors, but also to expand our addressable market by educating Eye Care Professionals ("ECPs"), patients and other stakeholders on our products and evolving treatment paradigms. Outside of the U.S., we have historically sold OMNI primarily through a network of distributors, although we began employing a small direct sales force outside of the United States in 2021.</w:t>
      </w:r>
    </w:p>
    <w:p>
      <w:pPr>
        <w:spacing w:after="0" w:line="182" w:lineRule="exact"/>
        <w:rPr>
          <w:sz w:val="20"/>
          <w:szCs w:val="20"/>
          <w:color w:val="auto"/>
        </w:rPr>
      </w:pPr>
    </w:p>
    <w:p>
      <w:pPr>
        <w:ind w:right="120" w:firstLine="509"/>
        <w:spacing w:after="0" w:line="258" w:lineRule="auto"/>
        <w:rPr>
          <w:sz w:val="20"/>
          <w:szCs w:val="20"/>
          <w:color w:val="auto"/>
        </w:rPr>
      </w:pPr>
      <w:r>
        <w:rPr>
          <w:rFonts w:ascii="Arial" w:cs="Arial" w:eastAsia="Arial" w:hAnsi="Arial"/>
          <w:sz w:val="17"/>
          <w:szCs w:val="17"/>
          <w:color w:val="auto"/>
        </w:rPr>
        <w:t xml:space="preserve">We sell OMNI to facilities where ophthalmic surgeons perform outpatient procedures, mainly ambulatory surgery centers ("ASCs") and </w:t>
      </w:r>
      <w:r>
        <w:rPr>
          <w:rFonts w:ascii="Arial" w:cs="Arial" w:eastAsia="Arial" w:hAnsi="Arial"/>
          <w:sz w:val="17"/>
          <w:szCs w:val="17"/>
          <w:color w:val="231F20"/>
        </w:rPr>
        <w:t>hospital</w:t>
      </w:r>
      <w:r>
        <w:rPr>
          <w:rFonts w:ascii="Arial" w:cs="Arial" w:eastAsia="Arial" w:hAnsi="Arial"/>
          <w:sz w:val="17"/>
          <w:szCs w:val="17"/>
          <w:color w:val="auto"/>
        </w:rPr>
        <w:t xml:space="preserve"> </w:t>
      </w:r>
      <w:r>
        <w:rPr>
          <w:rFonts w:ascii="Arial" w:cs="Arial" w:eastAsia="Arial" w:hAnsi="Arial"/>
          <w:sz w:val="17"/>
          <w:szCs w:val="17"/>
          <w:color w:val="231F20"/>
        </w:rPr>
        <w:t xml:space="preserve">outpatient departments ("HOPDs"), </w:t>
      </w:r>
      <w:r>
        <w:rPr>
          <w:rFonts w:ascii="Arial" w:cs="Arial" w:eastAsia="Arial" w:hAnsi="Arial"/>
          <w:sz w:val="17"/>
          <w:szCs w:val="17"/>
          <w:color w:val="000000"/>
        </w:rPr>
        <w:t>which are typically reimbursed by Medicare or private payors for procedures using our products. We sell TearCare to</w:t>
      </w:r>
      <w:r>
        <w:rPr>
          <w:rFonts w:ascii="Arial" w:cs="Arial" w:eastAsia="Arial" w:hAnsi="Arial"/>
          <w:sz w:val="17"/>
          <w:szCs w:val="17"/>
          <w:color w:val="231F20"/>
        </w:rPr>
        <w:t xml:space="preserve"> </w:t>
      </w:r>
      <w:r>
        <w:rPr>
          <w:rFonts w:ascii="Arial" w:cs="Arial" w:eastAsia="Arial" w:hAnsi="Arial"/>
          <w:sz w:val="17"/>
          <w:szCs w:val="17"/>
          <w:color w:val="000000"/>
        </w:rPr>
        <w:t xml:space="preserve">optometrist and ophthalmologist practices. Currently, there is no meaningful reimbursement coverage by Medicare or private payors for </w:t>
      </w:r>
      <w:r>
        <w:rPr>
          <w:rFonts w:ascii="Arial" w:cs="Arial" w:eastAsia="Arial" w:hAnsi="Arial"/>
          <w:sz w:val="17"/>
          <w:szCs w:val="17"/>
          <w:color w:val="231F20"/>
        </w:rPr>
        <w:t>meibomian gland</w:t>
      </w:r>
      <w:r>
        <w:rPr>
          <w:rFonts w:ascii="Arial" w:cs="Arial" w:eastAsia="Arial" w:hAnsi="Arial"/>
          <w:sz w:val="17"/>
          <w:szCs w:val="17"/>
          <w:color w:val="000000"/>
        </w:rPr>
        <w:t xml:space="preserve"> </w:t>
      </w:r>
      <w:r>
        <w:rPr>
          <w:rFonts w:ascii="Arial" w:cs="Arial" w:eastAsia="Arial" w:hAnsi="Arial"/>
          <w:sz w:val="17"/>
          <w:szCs w:val="17"/>
          <w:color w:val="231F20"/>
        </w:rPr>
        <w:t>disease ("</w:t>
      </w:r>
      <w:r>
        <w:rPr>
          <w:rFonts w:ascii="Arial" w:cs="Arial" w:eastAsia="Arial" w:hAnsi="Arial"/>
          <w:sz w:val="17"/>
          <w:szCs w:val="17"/>
          <w:color w:val="000000"/>
        </w:rPr>
        <w:t>MGD") procedures, including TearCare, and patients typically pay out-of-pocket for TearCare. We are continuing our controlled commercial</w:t>
      </w:r>
      <w:r>
        <w:rPr>
          <w:rFonts w:ascii="Arial" w:cs="Arial" w:eastAsia="Arial" w:hAnsi="Arial"/>
          <w:sz w:val="17"/>
          <w:szCs w:val="17"/>
          <w:color w:val="231F20"/>
        </w:rPr>
        <w:t xml:space="preserve"> </w:t>
      </w:r>
      <w:r>
        <w:rPr>
          <w:rFonts w:ascii="Arial" w:cs="Arial" w:eastAsia="Arial" w:hAnsi="Arial"/>
          <w:sz w:val="17"/>
          <w:szCs w:val="17"/>
          <w:color w:val="000000"/>
        </w:rPr>
        <w:t>launch and are focused on our comprehensive, clinical data-driven long-term market development plan that aims to improve awareness and patient access to TearCare. We have dedicated meaningful resources to execute our commercial strategy and we continue to expand our sales organization through additional sales representatives and territories. The overall success of our approach to eyecare to date is evidenced by the over 120,000 estimated uses of OMNI and its direct predicates in over 1,500 hospitals and ASCs in the U.S. and Europe, and over 20,000 estimated uses of TearCare in over 750 eyecare facilities in the U.S. through June 30, 2022.</w:t>
      </w:r>
    </w:p>
    <w:p>
      <w:pPr>
        <w:spacing w:after="0" w:line="188"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We currently operate no manufacturing facilities and instead contract with third parties for our production requirements. We believe our suppliers will be able to meet our current and anticipated manufacturing needs across all our products. We plan to continue to utilize third party contract manufacturers for our products and any related components.</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23" w:name="page24"/>
    <w:bookmarkEnd w:id="23"/>
    <w:p>
      <w:pPr>
        <w:ind w:right="20" w:firstLine="509"/>
        <w:spacing w:after="0" w:line="260" w:lineRule="auto"/>
        <w:rPr>
          <w:sz w:val="20"/>
          <w:szCs w:val="20"/>
          <w:color w:val="auto"/>
        </w:rPr>
      </w:pPr>
      <w:r>
        <w:rPr>
          <w:rFonts w:ascii="Arial" w:cs="Arial" w:eastAsia="Arial" w:hAnsi="Arial"/>
          <w:sz w:val="17"/>
          <w:szCs w:val="17"/>
          <w:color w:val="auto"/>
        </w:rPr>
        <w:t>Our gross margin in our Surgical Glaucoma segment for the three months ended June 30, 2022 and 2021 was 87.7% and 85.2%, respectively. Beginning with the production of finished goods inventory in the first quarter of 2021, we shifted our primary production of OMNI from a U.S.-based third-party contract manufacturer, to a lower cost, higher volume contract manufacturer in Asia. We are in the process of supplementing this OMNI production capacity with a U.S.-based contract manufacturer. These cost optimization initiatives contributed to the increase in gross margins in our Surgical Glaucoma segment. Our gross margin in our Dry Eye segment for the three months ended June 30, 2022 and 2021 was 40.8% and 2.7%, respectively. The TearCare System includes the SmartHub component, which is typically only sold in initial purchase orders, and single-use SmartLids which are sold as part of initial purchase orders and through repeat orders as the ECP performs procedures over time. Given the earlier stage of TearCare’s commercial development, we expect our Dry Eye segment’s gross margins to be lower than our Surgical Glaucoma segment’s gross margins for the near and medium-term due to the allocation of fixed labor and overhead costs to the segment's cost of goods sold.</w:t>
      </w:r>
    </w:p>
    <w:p>
      <w:pPr>
        <w:spacing w:after="0" w:line="173" w:lineRule="exact"/>
        <w:rPr>
          <w:sz w:val="20"/>
          <w:szCs w:val="20"/>
          <w:color w:val="auto"/>
        </w:rPr>
      </w:pPr>
    </w:p>
    <w:p>
      <w:pPr>
        <w:ind w:right="20" w:firstLine="509"/>
        <w:spacing w:after="0" w:line="278" w:lineRule="auto"/>
        <w:rPr>
          <w:sz w:val="20"/>
          <w:szCs w:val="20"/>
          <w:color w:val="auto"/>
        </w:rPr>
      </w:pPr>
      <w:r>
        <w:rPr>
          <w:rFonts w:ascii="Arial" w:cs="Arial" w:eastAsia="Arial" w:hAnsi="Arial"/>
          <w:sz w:val="16"/>
          <w:szCs w:val="16"/>
          <w:color w:val="auto"/>
        </w:rPr>
        <w:t>We believe in the importance of continued strategic investment in initiatives that: further demonstrate our products’ clinical effectiveness and safety to potential customers, patients, payors and regulators; enhance our commercial capabilities, including resources dedicated to sales, marketing and education; ensure the broadest possible patient access to the treatment alternatives that our products are cleared to offer; enhance and improve upon our existing product technologies; and allow us to innovate new products, devices or drugs, in glaucoma and ocular surface disease or in new eye disease areas. As a result, we intend to continue to invest in clinical studies, sales and marketing, education initiatives, market access, and product development. Because of these and other factors, we expect to continue to incur net losses for at least the next several fiscal years. Moreover, we expect to incur expenses as a result of operating as a public company, including expenses related to compliance with the rules and regulations of the SEC and those of the Nasdaq Stock Market, additional insurance expenses, investor relations activities and other administrative and professional services. As a result of these and other factors, we may require and seek additional debt and equity financing to fund our operations and planned growth.</w:t>
      </w:r>
    </w:p>
    <w:p>
      <w:pPr>
        <w:spacing w:after="0" w:line="161"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To date, our primary sources of capital has been private placements of redeemable convertible preferred stock, debt financing agreements, the sale of common stock in our initial public offering ("IPO"), and revenue from the sale of our products. In July 2021, we completed our IPO, receiving net proceeds of $252.2 million. As of June 30, 2022, we had an outstanding term loan balance of $35.0 million (excluding debt discount and amortized debt issuance costs), cash and cash equivalents of $220.1 million and an accumulated deficit of $200.1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17"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The global COVID-19 pandemic impacted and is expected to continue to impact demand for our products, which are used in procedures and therapies that are considered elective. Although some of these governmental restrictions have since been lifted or scaled back, recent and future surges of COVID-19 may result in restrictions being re-implemented in response to efforts to reduce the spread of COVID-19. As elective eyecare procedures in many facilities that utilize our products were temporarily suspended by governmental authorities, many patients avoided visiting ECPs, and, even in areas that allowed elective procedures, ECPs and healthcare facilities in general substantially reduced or in some cases halted, the scheduling and performance of such procedures. The decrease in demand for our products due to COVID-19 most significantly impacted our revenues in the latter part of the first quarter and the first half of the second quarter of 2020. As vaccine availability and the vaccinated population increases across the U.S., the recovery of our end markets resumed in the second quarter of 2021. Our normal business operations were again disrupted by resurgence of the Delta variant in the third quarter of 2021 and emergence of the Omicron variant in the fourth quarter of 2021 and into early 2022.</w:t>
      </w:r>
    </w:p>
    <w:p>
      <w:pPr>
        <w:spacing w:after="0" w:line="161" w:lineRule="exact"/>
        <w:rPr>
          <w:sz w:val="20"/>
          <w:szCs w:val="20"/>
          <w:color w:val="auto"/>
        </w:rPr>
      </w:pPr>
    </w:p>
    <w:p>
      <w:pPr>
        <w:ind w:right="120" w:firstLine="509"/>
        <w:spacing w:after="0" w:line="280" w:lineRule="auto"/>
        <w:rPr>
          <w:sz w:val="20"/>
          <w:szCs w:val="20"/>
          <w:color w:val="auto"/>
        </w:rPr>
      </w:pPr>
      <w:r>
        <w:rPr>
          <w:rFonts w:ascii="Arial" w:cs="Arial" w:eastAsia="Arial" w:hAnsi="Arial"/>
          <w:sz w:val="16"/>
          <w:szCs w:val="16"/>
          <w:color w:val="auto"/>
        </w:rPr>
        <w:t>The ultimate impact of the COVID-19 pandemic on our operations is unknown and will depend on future developments which are highly uncertain and cannot be predicted with confidence, including the duration and severity of the COVID-19 outbreak (including prevalence and effect of the delta variant and other potential COVID-19 variants), the status of health and safety actions taken to contain its spread and any additional preventative and protective actions that governments or we may direct, any resurgence of COVID-19 that may occur and how quickly and to what extent economic and operating conditions normalize within the markets in which we operate. The COVID-19 pandemic could disrupt the operations of our third-party manufacturers and other suppliers. Although we have not experienced material disruptions in our supply chain to date, we cannot predict how long the pandemic and measures intended to contain the spread of COVID-19 will continue and what effect COVID-19 and the associated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4" w:name="page25"/>
    <w:bookmarkEnd w:id="24"/>
    <w:p>
      <w:pPr>
        <w:spacing w:after="0" w:line="278" w:lineRule="auto"/>
        <w:rPr>
          <w:sz w:val="20"/>
          <w:szCs w:val="20"/>
          <w:color w:val="auto"/>
        </w:rPr>
      </w:pPr>
      <w:r>
        <w:rPr>
          <w:rFonts w:ascii="Arial" w:cs="Arial" w:eastAsia="Arial" w:hAnsi="Arial"/>
          <w:sz w:val="17"/>
          <w:szCs w:val="17"/>
          <w:color w:val="auto"/>
        </w:rPr>
        <w:t>containment measures will have on our suppliers and vendors, in particular for any of our suppliers and vendors that may not qualify as essential businesses and suffer more significant disruptions to their business operations. We are working closely with our manufacturing partners and suppliers to help ensure that we are able to source key components and maintain appropriate inventory levels to meet customer demand.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 and Results of Operations</w:t>
      </w:r>
    </w:p>
    <w:p>
      <w:pPr>
        <w:spacing w:after="0" w:line="121"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We believe there are several important factors that have impacted and that will continue to impact our business and results of operations. There have been no material changes to such factors from those described in our 2021 Form 10-K under the heading "Factors Affecting our Business and Results of Operations."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231F20"/>
        </w:rPr>
        <w:t>We currently derive the majority of our U.S. revenue from the sale of OMNI to ASCs and HOPDs and TearCare to ophthalmology and optometry practices. During the six months ended June 30, 2022 and 2021, the revenues from our Surgical Glaucoma segment, which included OMNI, accounted for over 90% of our total revenues. Substantially all of our revenues for both periods were generated from sales within the U.S. Our OMNI customers place orders based on their expected procedure volume and reorder as needed, typically on a biweekly, monthly or bimonthly basis. Our TearCare customers typically purchase a TearCare System which consists of one or more SmartHubs, multiple single-use SmartLids and other accessories. After utilizing their initial inventory, customers can reorder SmartLids as needed. No single customer accounted for 10% or more of our revenue for the six months ended June 30, 2022 and 2021.</w:t>
      </w:r>
    </w:p>
    <w:p>
      <w:pPr>
        <w:spacing w:after="0" w:line="187"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231F20"/>
        </w:rPr>
        <w:t>The growth in our revenue is driven by the demand for elective surgery and treatment utilizing our products. Such demand is often lower during summer months because of ECP vacations and in winter months in certain parts of the world because of fewer business or surgery days due to holidays and adverse weather conditions.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117" w:lineRule="exact"/>
        <w:rPr>
          <w:sz w:val="20"/>
          <w:szCs w:val="20"/>
          <w:color w:val="auto"/>
        </w:rPr>
      </w:pPr>
    </w:p>
    <w:p>
      <w:pPr>
        <w:ind w:right="200" w:firstLine="509"/>
        <w:spacing w:after="0" w:line="268" w:lineRule="auto"/>
        <w:rPr>
          <w:sz w:val="20"/>
          <w:szCs w:val="20"/>
          <w:color w:val="auto"/>
        </w:rPr>
      </w:pPr>
      <w:r>
        <w:rPr>
          <w:rFonts w:ascii="Arial" w:cs="Arial" w:eastAsia="Arial" w:hAnsi="Arial"/>
          <w:sz w:val="17"/>
          <w:szCs w:val="17"/>
          <w:color w:val="231F20"/>
        </w:rPr>
        <w:t>Our products are produced by third-party manufacturers. Our cost of goods sold consists primarily of amounts paid for our products to third-party manufacturers, and our manufacturing overhead costs, which consist primarily of personnel expenses, including salaries, benefits and stock-based compensation, and reserves for excess, obsolete and non-sellable inventory. Cost of goods sold also includes depreciation expenses for production equipment which we provide to our third-party manufacturers and certain direct costs, such as shipping and handling costs.</w:t>
      </w:r>
    </w:p>
    <w:p>
      <w:pPr>
        <w:spacing w:after="0" w:line="58" w:lineRule="exact"/>
        <w:rPr>
          <w:sz w:val="20"/>
          <w:szCs w:val="20"/>
          <w:color w:val="auto"/>
        </w:rPr>
      </w:pPr>
    </w:p>
    <w:p>
      <w:pPr>
        <w:ind w:right="60" w:firstLine="509"/>
        <w:spacing w:after="0" w:line="261" w:lineRule="auto"/>
        <w:rPr>
          <w:sz w:val="20"/>
          <w:szCs w:val="20"/>
          <w:color w:val="auto"/>
        </w:rPr>
      </w:pPr>
      <w:r>
        <w:rPr>
          <w:rFonts w:ascii="Arial" w:cs="Arial" w:eastAsia="Arial" w:hAnsi="Arial"/>
          <w:sz w:val="17"/>
          <w:szCs w:val="17"/>
          <w:color w:val="231F20"/>
        </w:rPr>
        <w:t>We calculate gross margin as gross profit divided by revenue. Our gross margin has been and will continue to be affected by a variety of factors, including differences in segment gross margins, changes in average selling prices, product sales mix, production and ordering volumes, manufacturing costs, product yields, and headcount. In general, we expect our gross margins to increase over the long-term to the extent our production and ordering volumes increase and to the extent we spread the fixed portion of our overhead costs over a larger number of units produced. We intend to use our design, engineering and manufacturing know-how and capabilities to further advance and improve the efficiency of our suppliers’ manufacturing processes, which we believe will reduce costs and increase our gross margins. Our gross margins could fluctuate from quarter to quarter as we transition to new suppliers, introduce new products and adopt new manufacturing processes and technologies.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Research and development ("R&amp;D") expenses consist primarily of engineering, product development, clinical studies to develop and support our products, including clinical trial design, clinical trial site initiation and study costs, internal and external costs associated with our regulatory compliance and quality assurance functions, medical affairs, cost of products used for clinical trials and other costs associated with products and technologies – either new or enhancements of existing platforms – that are in development. These expenses also include personnel expenses, including salaries, benefits and stock-based compensation, supplies, consulting, prototyping, testing, materials, travel expenses, depreciation expenses for equipment and an allocation of IT and facility overhead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5" w:name="page26"/>
    <w:bookmarkEnd w:id="25"/>
    <w:p>
      <w:pPr>
        <w:spacing w:after="0" w:line="256" w:lineRule="auto"/>
        <w:rPr>
          <w:sz w:val="20"/>
          <w:szCs w:val="20"/>
          <w:color w:val="auto"/>
        </w:rPr>
      </w:pPr>
      <w:r>
        <w:rPr>
          <w:rFonts w:ascii="Arial" w:cs="Arial" w:eastAsia="Arial" w:hAnsi="Arial"/>
          <w:sz w:val="18"/>
          <w:szCs w:val="18"/>
          <w:color w:val="auto"/>
        </w:rPr>
        <w:t>expenses. Our R&amp;D expenses as a percentage of revenue may vary over time depending on the level and timing of new product development efforts, as well as clinical development, clinical trial and other related activities. We expect our R&amp;D expenses to increase for the next several years as we continue to invest in our active clinical trial program, develop new products and improve our existing products.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auto"/>
        </w:rPr>
        <w:t>Selling, general and administrative ("SG&amp;A") expenses consist primarily of personnel expenses, including salaries, benefits and stock-based compensation related to selling, marketing and corporate functions, allocation of IT and facility overhead expenses, bad debt expense, finance, legal and human resource costs. Other SG&amp;A expenses include training, travel expenses, promotional activities, marketing initiatives, market research and analysis, conferences and trade shows, professional services fees (including external legal, audit, consulting and tax fees), insurance costs, and general corporate expenses.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4"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Interest expense consists primarily of interest incurred on our outstanding indebtedness and non-cash interest related to the amortization of debt discount and issuance costs associated with our outstanding loan.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231F20"/>
        </w:rPr>
        <w:t>Other income (expense), net consists of interest and amortization on held-to-maturity investments in treasury securities, as well as, gains and losses resulting from the remeasurement of the fair value of our redeemable convertible preferred stock warrant liability. The redeemable convertible preferred stock warrants were exercised in 2021 and the final fair value of the warrant liability was reclassified to stockholders’ equity. We will no longer record any related periodic fair value adjustments.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2022 and 2021 (dollars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Change</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0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4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60" w:type="dxa"/>
            <w:vAlign w:val="bottom"/>
            <w:gridSpan w:val="3"/>
          </w:tcPr>
          <w:p>
            <w:pPr>
              <w:jc w:val="right"/>
              <w:ind w:right="656"/>
              <w:spacing w:after="0"/>
              <w:rPr>
                <w:sz w:val="20"/>
                <w:szCs w:val="20"/>
                <w:color w:val="auto"/>
              </w:rPr>
            </w:pPr>
            <w:r>
              <w:rPr>
                <w:rFonts w:ascii="Arial" w:cs="Arial" w:eastAsia="Arial" w:hAnsi="Arial"/>
                <w:sz w:val="14"/>
                <w:szCs w:val="14"/>
                <w:b w:val="1"/>
                <w:bCs w:val="1"/>
                <w:color w:val="auto"/>
              </w:rPr>
              <w:t>(unaudited)</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15,899</w:t>
            </w:r>
          </w:p>
        </w:tc>
        <w:tc>
          <w:tcPr>
            <w:tcW w:w="300" w:type="dxa"/>
            <w:vAlign w:val="bottom"/>
          </w:tcPr>
          <w:p>
            <w:pPr>
              <w:spacing w:after="0"/>
              <w:rPr>
                <w:sz w:val="18"/>
                <w:szCs w:val="18"/>
                <w:color w:val="auto"/>
              </w:rPr>
            </w:pP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11,988</w:t>
            </w:r>
          </w:p>
        </w:tc>
        <w:tc>
          <w:tcPr>
            <w:tcW w:w="26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3,911</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32.6 %</w:t>
            </w:r>
          </w:p>
        </w:tc>
      </w:tr>
      <w:tr>
        <w:trPr>
          <w:trHeight w:val="216"/>
        </w:trPr>
        <w:tc>
          <w:tcPr>
            <w:tcW w:w="4020" w:type="dxa"/>
            <w:vAlign w:val="bottom"/>
            <w:shd w:val="clear" w:color="auto" w:fill="CFF0FC"/>
          </w:tcPr>
          <w:p>
            <w:pPr>
              <w:ind w:left="380"/>
              <w:spacing w:after="0"/>
              <w:rPr>
                <w:sz w:val="20"/>
                <w:szCs w:val="20"/>
                <w:color w:val="auto"/>
              </w:rPr>
            </w:pPr>
            <w:r>
              <w:rPr>
                <w:rFonts w:ascii="Arial" w:cs="Arial" w:eastAsia="Arial" w:hAnsi="Arial"/>
                <w:sz w:val="18"/>
                <w:szCs w:val="18"/>
                <w:i w:val="1"/>
                <w:iCs w:val="1"/>
                <w:color w:val="auto"/>
              </w:rPr>
              <w:t>Percentage of total revenue</w:t>
            </w: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i w:val="1"/>
                <w:iCs w:val="1"/>
                <w:color w:val="auto"/>
              </w:rPr>
              <w:t>92.3 %</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i w:val="1"/>
                <w:iCs w:val="1"/>
                <w:color w:val="auto"/>
              </w:rPr>
              <w:t>95.6 %</w:t>
            </w: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Dry Eye</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1,330</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547</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783</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shd w:val="clear" w:color="auto" w:fill="CFF0FC"/>
          </w:tcPr>
          <w:p>
            <w:pPr>
              <w:ind w:left="380"/>
              <w:spacing w:after="0"/>
              <w:rPr>
                <w:sz w:val="20"/>
                <w:szCs w:val="20"/>
                <w:color w:val="auto"/>
              </w:rPr>
            </w:pPr>
            <w:r>
              <w:rPr>
                <w:rFonts w:ascii="Arial" w:cs="Arial" w:eastAsia="Arial" w:hAnsi="Arial"/>
                <w:sz w:val="18"/>
                <w:szCs w:val="18"/>
                <w:i w:val="1"/>
                <w:iCs w:val="1"/>
                <w:color w:val="auto"/>
              </w:rPr>
              <w:t>Percentage of total revenue</w:t>
            </w: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i w:val="1"/>
                <w:iCs w:val="1"/>
                <w:color w:val="auto"/>
              </w:rPr>
              <w:t>7.7 %</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i w:val="1"/>
                <w:iCs w:val="1"/>
                <w:color w:val="auto"/>
              </w:rPr>
              <w:t>4.4 %</w:t>
            </w: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402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17,229</w:t>
            </w:r>
          </w:p>
        </w:tc>
        <w:tc>
          <w:tcPr>
            <w:tcW w:w="30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12,535</w:t>
            </w:r>
          </w:p>
        </w:tc>
        <w:tc>
          <w:tcPr>
            <w:tcW w:w="26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4,694</w:t>
            </w:r>
          </w:p>
        </w:tc>
        <w:tc>
          <w:tcPr>
            <w:tcW w:w="28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goods sold</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1,949</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1,773</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Dry Eye</w:t>
            </w: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3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4020" w:type="dxa"/>
            <w:vAlign w:val="bottom"/>
          </w:tcPr>
          <w:p>
            <w:pPr>
              <w:ind w:left="560"/>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2,736</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2,305</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431</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13,950</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10,215</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3,735</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Dry Eye</w:t>
            </w: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3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2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3,520.0</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4020" w:type="dxa"/>
            <w:vAlign w:val="bottom"/>
          </w:tcPr>
          <w:p>
            <w:pPr>
              <w:ind w:left="560"/>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14,493</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10,230</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4,263</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margin</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94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i w:val="1"/>
                <w:iCs w:val="1"/>
                <w:color w:val="auto"/>
              </w:rPr>
              <w:t>87.7 %</w:t>
            </w:r>
          </w:p>
        </w:tc>
        <w:tc>
          <w:tcPr>
            <w:tcW w:w="96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Arial" w:cs="Arial" w:eastAsia="Arial" w:hAnsi="Arial"/>
                <w:sz w:val="18"/>
                <w:szCs w:val="18"/>
                <w:i w:val="1"/>
                <w:iCs w:val="1"/>
                <w:color w:val="auto"/>
              </w:rPr>
              <w:t>85.2 %</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Dry Eye</w:t>
            </w: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i w:val="1"/>
                <w:iCs w:val="1"/>
                <w:color w:val="auto"/>
              </w:rPr>
              <w:t>40.8 %</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i w:val="1"/>
                <w:iCs w:val="1"/>
                <w:color w:val="auto"/>
              </w:rPr>
              <w:t>2.7 %</w:t>
            </w: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40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020" w:type="dxa"/>
            <w:vAlign w:val="bottom"/>
          </w:tcPr>
          <w:p>
            <w:pPr>
              <w:ind w:left="560"/>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i w:val="1"/>
                <w:iCs w:val="1"/>
                <w:color w:val="auto"/>
              </w:rPr>
              <w:t>84.1 %</w:t>
            </w:r>
          </w:p>
        </w:tc>
        <w:tc>
          <w:tcPr>
            <w:tcW w:w="96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Arial" w:cs="Arial" w:eastAsia="Arial" w:hAnsi="Arial"/>
                <w:sz w:val="18"/>
                <w:szCs w:val="18"/>
                <w:i w:val="1"/>
                <w:iCs w:val="1"/>
                <w:color w:val="auto"/>
              </w:rPr>
              <w:t>81.6 %</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5,926</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3,546</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2,380</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31,431</w:t>
            </w:r>
          </w:p>
        </w:tc>
        <w:tc>
          <w:tcPr>
            <w:tcW w:w="3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17,760</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13,671</w:t>
            </w:r>
          </w:p>
        </w:tc>
        <w:tc>
          <w:tcPr>
            <w:tcW w:w="2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4020" w:type="dxa"/>
            <w:vAlign w:val="bottom"/>
          </w:tcPr>
          <w:p>
            <w:pPr>
              <w:ind w:left="560"/>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37,357</w:t>
            </w:r>
          </w:p>
        </w:tc>
        <w:tc>
          <w:tcPr>
            <w:tcW w:w="3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21,306</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16,051</w:t>
            </w: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(22,864</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(11,076</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(11,788</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18"/>
                <w:szCs w:val="18"/>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(1,065 )</w:t>
            </w:r>
          </w:p>
        </w:tc>
        <w:tc>
          <w:tcPr>
            <w:tcW w:w="96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(1,082 )</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(1.6 )</w:t>
            </w:r>
          </w:p>
        </w:tc>
        <w:tc>
          <w:tcPr>
            <w:tcW w:w="60" w:type="dxa"/>
            <w:vAlign w:val="bottom"/>
          </w:tcPr>
          <w:p>
            <w:pPr>
              <w:spacing w:after="0"/>
              <w:rPr>
                <w:sz w:val="18"/>
                <w:szCs w:val="18"/>
                <w:color w:val="auto"/>
              </w:rPr>
            </w:pPr>
          </w:p>
        </w:tc>
      </w:tr>
      <w:tr>
        <w:trPr>
          <w:trHeight w:val="216"/>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(5,435 )</w:t>
            </w: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5,530</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(101.7 )</w:t>
            </w:r>
          </w:p>
        </w:tc>
        <w:tc>
          <w:tcPr>
            <w:tcW w:w="60" w:type="dxa"/>
            <w:vAlign w:val="bottom"/>
          </w:tcPr>
          <w:p>
            <w:pPr>
              <w:spacing w:after="0"/>
              <w:rPr>
                <w:sz w:val="18"/>
                <w:szCs w:val="18"/>
                <w:color w:val="auto"/>
              </w:rPr>
            </w:pPr>
          </w:p>
        </w:tc>
      </w:tr>
      <w:tr>
        <w:trPr>
          <w:trHeight w:val="209"/>
        </w:trPr>
        <w:tc>
          <w:tcPr>
            <w:tcW w:w="402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w:t>
            </w: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w w:val="91"/>
              </w:rPr>
              <w:t>(23,834 )</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w w:val="91"/>
              </w:rPr>
              <w:t>(17,593 )</w:t>
            </w:r>
          </w:p>
        </w:tc>
        <w:tc>
          <w:tcPr>
            <w:tcW w:w="4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(6,241 )</w:t>
            </w: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Provision (benefit) for income tax</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(13 )</w:t>
            </w:r>
          </w:p>
        </w:tc>
        <w:tc>
          <w:tcPr>
            <w:tcW w:w="4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(59.1 )</w:t>
            </w:r>
          </w:p>
        </w:tc>
        <w:tc>
          <w:tcPr>
            <w:tcW w:w="60" w:type="dxa"/>
            <w:vAlign w:val="bottom"/>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10"/>
        </w:trPr>
        <w:tc>
          <w:tcPr>
            <w:tcW w:w="402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(23,843</w:t>
            </w:r>
          </w:p>
        </w:tc>
        <w:tc>
          <w:tcPr>
            <w:tcW w:w="3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(17,615</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(6,228</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35.4 %</w:t>
            </w:r>
          </w:p>
        </w:tc>
      </w:tr>
      <w:tr>
        <w:trPr>
          <w:trHeight w:val="20"/>
        </w:trPr>
        <w:tc>
          <w:tcPr>
            <w:tcW w:w="4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-3385185</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-3385185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-3385185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-3385185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-2828290</wp:posOffset>
            </wp:positionV>
            <wp:extent cx="77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-2828290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-2828290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-2270760</wp:posOffset>
            </wp:positionV>
            <wp:extent cx="774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-2270760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-2270760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-1713865</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-1713865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-1713865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-1156970</wp:posOffset>
            </wp:positionV>
            <wp:extent cx="774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-1156970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-1156970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-590550</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-590550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-590550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0"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Revenue in the three months ended June 30, 2022 was $17.2 million, an increase of $4.7 million, or 37.4%, from the prior year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The overall increase in Surgical Glaucoma revenue was attributable to a significant increase in the number of OMNI units sold in the three months ended June 30, 2022 as a result of growth in the number of facilities ordering OMNI and an increase in unit utilization per ordering facility. Our Dry Eye revenues increased in the three months ended June 30, 2022 versus the comparable period in 2021 due to the continued growth in our installed base of facilities that have purchased TearCare. Surgical Glaucoma sales represented 92.3% and 95.6% of our revenue generated in the three months ended June 30, 2022 and 2021, respectively.</w:t>
      </w:r>
    </w:p>
    <w:p>
      <w:pPr>
        <w:spacing w:after="0" w:line="187" w:lineRule="exact"/>
        <w:rPr>
          <w:sz w:val="20"/>
          <w:szCs w:val="20"/>
          <w:color w:val="auto"/>
        </w:rPr>
      </w:pPr>
    </w:p>
    <w:p>
      <w:pPr>
        <w:ind w:right="120" w:firstLine="509"/>
        <w:spacing w:after="0" w:line="249" w:lineRule="auto"/>
        <w:rPr>
          <w:sz w:val="20"/>
          <w:szCs w:val="20"/>
          <w:color w:val="auto"/>
        </w:rPr>
      </w:pPr>
      <w:r>
        <w:rPr>
          <w:rFonts w:ascii="Arial" w:cs="Arial" w:eastAsia="Arial" w:hAnsi="Arial"/>
          <w:sz w:val="18"/>
          <w:szCs w:val="18"/>
          <w:i w:val="1"/>
          <w:iCs w:val="1"/>
          <w:color w:val="auto"/>
        </w:rPr>
        <w:t>Cost of Goods Sold and Gross Profit</w:t>
      </w:r>
      <w:r>
        <w:rPr>
          <w:rFonts w:ascii="Arial" w:cs="Arial" w:eastAsia="Arial" w:hAnsi="Arial"/>
          <w:sz w:val="18"/>
          <w:szCs w:val="18"/>
          <w:color w:val="auto"/>
        </w:rPr>
        <w:t>. Cost of goods sold during the three months ended June 30, 2022, increased $0.4 million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the prior year. Our Surgical Glaucoma cost of goods sold increased $0.2 million as compared to 2021. The increase was driven by increased sales activity, partially offset by lower per unit production costs as a result of transitioning OMNI manufacturing to a high-volume offshore contract manufacturer in early 2021. Dry Eye cost of goods sold increased $0.3 million in the three months ended June 30, 2022 over the comparable period in 2021, which was primarily driven by increases in sales activity.</w:t>
      </w:r>
    </w:p>
    <w:p>
      <w:pPr>
        <w:spacing w:after="0" w:line="3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648" w:right="279" w:bottom="1440" w:gutter="0" w:footer="0" w:header="0"/>
        </w:sectPr>
      </w:pPr>
    </w:p>
    <w:bookmarkStart w:id="27" w:name="page28"/>
    <w:bookmarkEnd w:id="27"/>
    <w:p>
      <w:pPr>
        <w:ind w:right="60" w:firstLine="509"/>
        <w:spacing w:after="0" w:line="246" w:lineRule="auto"/>
        <w:rPr>
          <w:sz w:val="20"/>
          <w:szCs w:val="20"/>
          <w:color w:val="auto"/>
        </w:rPr>
      </w:pPr>
      <w:r>
        <w:rPr>
          <w:rFonts w:ascii="Arial" w:cs="Arial" w:eastAsia="Arial" w:hAnsi="Arial"/>
          <w:sz w:val="18"/>
          <w:szCs w:val="18"/>
          <w:color w:val="auto"/>
        </w:rPr>
        <w:t>Our total gross profit was $14.5 million in the three months ended June 30, 2022, an increase of $4.3 million from the comparable period in 2021. Our total gross margin increased from 81.6% to 84.1% from the three months ended June 30, 2021 to the three months ended June 30, 2022. The increase in gross margin was primarily due to increased sales volume in OMNI units and manufacturing efficiencies. Gross margin in our Surgical Glaucoma segment was 87.7% for the quarter ended June 30, 2022, an increase from 85.2% for the prior year comparable period. In our Dry Eye segment, gross margin increased from 2.7% in the second quarter of 2021, to 40.8% for the quarter ended June 30, 2022, driven by cost efficiencies achieved through high sales volumes.</w:t>
      </w:r>
    </w:p>
    <w:p>
      <w:pPr>
        <w:spacing w:after="0" w:line="185" w:lineRule="exact"/>
        <w:rPr>
          <w:sz w:val="20"/>
          <w:szCs w:val="20"/>
          <w:color w:val="auto"/>
        </w:rPr>
      </w:pPr>
    </w:p>
    <w:p>
      <w:pPr>
        <w:ind w:right="60" w:firstLine="509"/>
        <w:spacing w:after="0" w:line="268" w:lineRule="auto"/>
        <w:rPr>
          <w:sz w:val="20"/>
          <w:szCs w:val="20"/>
          <w:color w:val="auto"/>
        </w:rPr>
      </w:pPr>
      <w:r>
        <w:rPr>
          <w:rFonts w:ascii="Arial" w:cs="Arial" w:eastAsia="Arial" w:hAnsi="Arial"/>
          <w:sz w:val="17"/>
          <w:szCs w:val="17"/>
          <w:i w:val="1"/>
          <w:iCs w:val="1"/>
          <w:color w:val="auto"/>
        </w:rPr>
        <w:t>Research and Development ("R&amp;D") Expenses</w:t>
      </w:r>
      <w:r>
        <w:rPr>
          <w:rFonts w:ascii="Arial" w:cs="Arial" w:eastAsia="Arial" w:hAnsi="Arial"/>
          <w:sz w:val="17"/>
          <w:szCs w:val="17"/>
          <w:color w:val="auto"/>
        </w:rPr>
        <w:t>. The $2.4 million increase in R&amp;D expenses during the three months ended June 30, 2022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three months ended June 30, 2021 was primarily attributable to a $1.8 million increase in personnel expenses as a result of increased headcount, including a $0.3 million increase in stock-based compensation expense. In addition, there was a $0.3 million increase in clinical studies expense, and the remainder in other services resulted in a $0.4 million increase, driven by an overall increase in business activities.</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Selling, General, and Administrative ("SG&amp;A") Expenses</w:t>
      </w:r>
      <w:r>
        <w:rPr>
          <w:rFonts w:ascii="Arial" w:cs="Arial" w:eastAsia="Arial" w:hAnsi="Arial"/>
          <w:sz w:val="18"/>
          <w:szCs w:val="18"/>
          <w:color w:val="auto"/>
        </w:rPr>
        <w:t>. SG&amp;A expenses were $31.4 million for the three months ended June 30, 2022, an</w:t>
      </w:r>
    </w:p>
    <w:p>
      <w:pPr>
        <w:spacing w:after="0" w:line="23"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increase of $13.7 million from the prior year comparable period. The increase was attributable to a $11.8 million increase in personnel expenses as a result of increased headcount, which included a $2.3 million increase in stock-based compensation expense. In addition, there was a $1.9 million increase in marketing expenses, a $1.3 million increase in professional services expense, including consulting and legal expenses, and a $0.6 million increase in travel expenses.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was consistent during the three months ended June 30, 2022 compared to the three months ended June 30, 2021.</w:t>
      </w:r>
    </w:p>
    <w:p>
      <w:pPr>
        <w:spacing w:after="0" w:line="235"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i w:val="1"/>
          <w:iCs w:val="1"/>
          <w:color w:val="auto"/>
        </w:rPr>
        <w:t xml:space="preserve">Other Income (Expense), Net. </w:t>
      </w:r>
      <w:r>
        <w:rPr>
          <w:rFonts w:ascii="Arial" w:cs="Arial" w:eastAsia="Arial" w:hAnsi="Arial"/>
          <w:sz w:val="16"/>
          <w:szCs w:val="16"/>
          <w:color w:val="auto"/>
        </w:rPr>
        <w:t>Other income (expense), net was $0.1 million for the three months ended June 30, 2022 as compared to an expense of</w:t>
      </w:r>
      <w:r>
        <w:rPr>
          <w:rFonts w:ascii="Arial" w:cs="Arial" w:eastAsia="Arial" w:hAnsi="Arial"/>
          <w:sz w:val="16"/>
          <w:szCs w:val="16"/>
          <w:i w:val="1"/>
          <w:iCs w:val="1"/>
          <w:color w:val="auto"/>
        </w:rPr>
        <w:t xml:space="preserve"> </w:t>
      </w:r>
      <w:r>
        <w:rPr>
          <w:rFonts w:ascii="Arial" w:cs="Arial" w:eastAsia="Arial" w:hAnsi="Arial"/>
          <w:sz w:val="16"/>
          <w:szCs w:val="16"/>
          <w:color w:val="auto"/>
        </w:rPr>
        <w:t>$5.4 million in the three months ended June 30, 2021 period related to the remeasurement of our convertible preferred stock warrants and recognition of the change in fair value. As detailed in the notes to our financial statements included herein, the convertible preferred stock warrants were automatically converted into common stock warrants concurrent with our IPO and subsequently exercised in the third quarter of fiscal year 2021.</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Comparison of the Six Months Ended June 30, 2022 and 2021 (dollars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Change</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0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4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60" w:type="dxa"/>
            <w:vAlign w:val="bottom"/>
            <w:gridSpan w:val="3"/>
          </w:tcPr>
          <w:p>
            <w:pPr>
              <w:jc w:val="right"/>
              <w:ind w:right="656"/>
              <w:spacing w:after="0"/>
              <w:rPr>
                <w:sz w:val="20"/>
                <w:szCs w:val="20"/>
                <w:color w:val="auto"/>
              </w:rPr>
            </w:pPr>
            <w:r>
              <w:rPr>
                <w:rFonts w:ascii="Arial" w:cs="Arial" w:eastAsia="Arial" w:hAnsi="Arial"/>
                <w:sz w:val="14"/>
                <w:szCs w:val="14"/>
                <w:b w:val="1"/>
                <w:bCs w:val="1"/>
                <w:color w:val="auto"/>
              </w:rPr>
              <w:t>(unaudited)</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29,770</w:t>
            </w:r>
          </w:p>
        </w:tc>
        <w:tc>
          <w:tcPr>
            <w:tcW w:w="300" w:type="dxa"/>
            <w:vAlign w:val="bottom"/>
          </w:tcPr>
          <w:p>
            <w:pPr>
              <w:spacing w:after="0"/>
              <w:rPr>
                <w:sz w:val="18"/>
                <w:szCs w:val="18"/>
                <w:color w:val="auto"/>
              </w:rPr>
            </w:pP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20,127</w:t>
            </w:r>
          </w:p>
        </w:tc>
        <w:tc>
          <w:tcPr>
            <w:tcW w:w="26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9,643</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47.9 %</w:t>
            </w:r>
          </w:p>
        </w:tc>
      </w:tr>
      <w:tr>
        <w:trPr>
          <w:trHeight w:val="216"/>
        </w:trPr>
        <w:tc>
          <w:tcPr>
            <w:tcW w:w="4020" w:type="dxa"/>
            <w:vAlign w:val="bottom"/>
            <w:shd w:val="clear" w:color="auto" w:fill="CFF0FC"/>
          </w:tcPr>
          <w:p>
            <w:pPr>
              <w:ind w:left="380"/>
              <w:spacing w:after="0"/>
              <w:rPr>
                <w:sz w:val="20"/>
                <w:szCs w:val="20"/>
                <w:color w:val="auto"/>
              </w:rPr>
            </w:pPr>
            <w:r>
              <w:rPr>
                <w:rFonts w:ascii="Arial" w:cs="Arial" w:eastAsia="Arial" w:hAnsi="Arial"/>
                <w:sz w:val="18"/>
                <w:szCs w:val="18"/>
                <w:i w:val="1"/>
                <w:iCs w:val="1"/>
                <w:color w:val="auto"/>
              </w:rPr>
              <w:t>Percentage of total revenue</w:t>
            </w: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i w:val="1"/>
                <w:iCs w:val="1"/>
                <w:color w:val="auto"/>
              </w:rPr>
              <w:t>92.7 %</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i w:val="1"/>
                <w:iCs w:val="1"/>
                <w:color w:val="auto"/>
              </w:rPr>
              <w:t>95.1 %</w:t>
            </w: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Dry Eye</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2,341</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1,043</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1,298</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shd w:val="clear" w:color="auto" w:fill="CFF0FC"/>
          </w:tcPr>
          <w:p>
            <w:pPr>
              <w:ind w:left="380"/>
              <w:spacing w:after="0"/>
              <w:rPr>
                <w:sz w:val="20"/>
                <w:szCs w:val="20"/>
                <w:color w:val="auto"/>
              </w:rPr>
            </w:pPr>
            <w:r>
              <w:rPr>
                <w:rFonts w:ascii="Arial" w:cs="Arial" w:eastAsia="Arial" w:hAnsi="Arial"/>
                <w:sz w:val="18"/>
                <w:szCs w:val="18"/>
                <w:i w:val="1"/>
                <w:iCs w:val="1"/>
                <w:color w:val="auto"/>
              </w:rPr>
              <w:t>Percentage of total revenue</w:t>
            </w: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i w:val="1"/>
                <w:iCs w:val="1"/>
                <w:color w:val="auto"/>
              </w:rPr>
              <w:t>7.3 %</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i w:val="1"/>
                <w:iCs w:val="1"/>
                <w:color w:val="auto"/>
              </w:rPr>
              <w:t>4.9 %</w:t>
            </w: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402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32,111</w:t>
            </w:r>
          </w:p>
        </w:tc>
        <w:tc>
          <w:tcPr>
            <w:tcW w:w="30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21,170</w:t>
            </w:r>
          </w:p>
        </w:tc>
        <w:tc>
          <w:tcPr>
            <w:tcW w:w="26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10,941</w:t>
            </w:r>
          </w:p>
        </w:tc>
        <w:tc>
          <w:tcPr>
            <w:tcW w:w="28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goods sold</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3,440</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3,631</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(191 )</w:t>
            </w:r>
          </w:p>
        </w:tc>
        <w:tc>
          <w:tcPr>
            <w:tcW w:w="4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(5.3 )</w:t>
            </w:r>
          </w:p>
        </w:tc>
        <w:tc>
          <w:tcPr>
            <w:tcW w:w="60" w:type="dxa"/>
            <w:vAlign w:val="bottom"/>
          </w:tcPr>
          <w:p>
            <w:pPr>
              <w:spacing w:after="0"/>
              <w:rPr>
                <w:sz w:val="18"/>
                <w:szCs w:val="18"/>
                <w:color w:val="auto"/>
              </w:rPr>
            </w:pPr>
          </w:p>
        </w:tc>
      </w:tr>
      <w:tr>
        <w:trPr>
          <w:trHeight w:val="216"/>
        </w:trPr>
        <w:tc>
          <w:tcPr>
            <w:tcW w:w="4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Dry Eye</w:t>
            </w: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2,328</w:t>
            </w:r>
          </w:p>
        </w:tc>
        <w:tc>
          <w:tcPr>
            <w:tcW w:w="3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1,353</w:t>
            </w:r>
          </w:p>
        </w:tc>
        <w:tc>
          <w:tcPr>
            <w:tcW w:w="2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4020" w:type="dxa"/>
            <w:vAlign w:val="bottom"/>
          </w:tcPr>
          <w:p>
            <w:pPr>
              <w:ind w:left="560"/>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5,768</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4,606</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1,162</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26,330</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16,496</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9,834</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Dry Eye</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(55 )</w:t>
            </w:r>
          </w:p>
        </w:tc>
        <w:tc>
          <w:tcPr>
            <w:tcW w:w="4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(80.9 )</w:t>
            </w:r>
          </w:p>
        </w:tc>
        <w:tc>
          <w:tcPr>
            <w:tcW w:w="60" w:type="dxa"/>
            <w:vAlign w:val="bottom"/>
          </w:tcPr>
          <w:p>
            <w:pPr>
              <w:spacing w:after="0"/>
              <w:rPr>
                <w:sz w:val="18"/>
                <w:szCs w:val="18"/>
                <w:color w:val="auto"/>
              </w:rPr>
            </w:pPr>
          </w:p>
        </w:tc>
      </w:tr>
      <w:tr>
        <w:trPr>
          <w:trHeight w:val="210"/>
        </w:trPr>
        <w:tc>
          <w:tcPr>
            <w:tcW w:w="402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26,343</w:t>
            </w:r>
          </w:p>
        </w:tc>
        <w:tc>
          <w:tcPr>
            <w:tcW w:w="30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16,564</w:t>
            </w:r>
          </w:p>
        </w:tc>
        <w:tc>
          <w:tcPr>
            <w:tcW w:w="26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9,779</w:t>
            </w:r>
          </w:p>
        </w:tc>
        <w:tc>
          <w:tcPr>
            <w:tcW w:w="28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margin</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94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i w:val="1"/>
                <w:iCs w:val="1"/>
                <w:color w:val="auto"/>
              </w:rPr>
              <w:t>88.4 %</w:t>
            </w:r>
          </w:p>
        </w:tc>
        <w:tc>
          <w:tcPr>
            <w:tcW w:w="96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Arial" w:cs="Arial" w:eastAsia="Arial" w:hAnsi="Arial"/>
                <w:sz w:val="18"/>
                <w:szCs w:val="18"/>
                <w:i w:val="1"/>
                <w:iCs w:val="1"/>
                <w:color w:val="auto"/>
              </w:rPr>
              <w:t>82.0 %</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Dry Eye</w:t>
            </w: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i w:val="1"/>
                <w:iCs w:val="1"/>
                <w:color w:val="auto"/>
              </w:rPr>
              <w:t>0.6 %</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i w:val="1"/>
                <w:iCs w:val="1"/>
                <w:color w:val="auto"/>
              </w:rPr>
              <w:t>6.5 %</w:t>
            </w: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40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020" w:type="dxa"/>
            <w:vAlign w:val="bottom"/>
          </w:tcPr>
          <w:p>
            <w:pPr>
              <w:ind w:left="560"/>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i w:val="1"/>
                <w:iCs w:val="1"/>
                <w:color w:val="auto"/>
              </w:rPr>
              <w:t>82.0 %</w:t>
            </w:r>
          </w:p>
        </w:tc>
        <w:tc>
          <w:tcPr>
            <w:tcW w:w="96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Arial" w:cs="Arial" w:eastAsia="Arial" w:hAnsi="Arial"/>
                <w:sz w:val="18"/>
                <w:szCs w:val="18"/>
                <w:i w:val="1"/>
                <w:iCs w:val="1"/>
                <w:color w:val="auto"/>
              </w:rPr>
              <w:t>78.2 %</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11,573</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6,986</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4,587</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59,826</w:t>
            </w:r>
          </w:p>
        </w:tc>
        <w:tc>
          <w:tcPr>
            <w:tcW w:w="3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32,310</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27,516</w:t>
            </w:r>
          </w:p>
        </w:tc>
        <w:tc>
          <w:tcPr>
            <w:tcW w:w="2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4020" w:type="dxa"/>
            <w:vAlign w:val="bottom"/>
          </w:tcPr>
          <w:p>
            <w:pPr>
              <w:ind w:left="560"/>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71,399</w:t>
            </w:r>
          </w:p>
        </w:tc>
        <w:tc>
          <w:tcPr>
            <w:tcW w:w="3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39,296</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32,103</w:t>
            </w: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(45,056</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(22,732</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(22,324</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18"/>
                <w:szCs w:val="18"/>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(2,112 )</w:t>
            </w:r>
          </w:p>
        </w:tc>
        <w:tc>
          <w:tcPr>
            <w:tcW w:w="96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(2,166 )</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(2.5 )</w:t>
            </w:r>
          </w:p>
        </w:tc>
        <w:tc>
          <w:tcPr>
            <w:tcW w:w="60" w:type="dxa"/>
            <w:vAlign w:val="bottom"/>
          </w:tcPr>
          <w:p>
            <w:pPr>
              <w:spacing w:after="0"/>
              <w:rPr>
                <w:sz w:val="18"/>
                <w:szCs w:val="18"/>
                <w:color w:val="auto"/>
              </w:rPr>
            </w:pPr>
          </w:p>
        </w:tc>
      </w:tr>
      <w:tr>
        <w:trPr>
          <w:trHeight w:val="216"/>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(4,883 )</w:t>
            </w: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4,963</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(101.6 )</w:t>
            </w:r>
          </w:p>
        </w:tc>
        <w:tc>
          <w:tcPr>
            <w:tcW w:w="60" w:type="dxa"/>
            <w:vAlign w:val="bottom"/>
          </w:tcPr>
          <w:p>
            <w:pPr>
              <w:spacing w:after="0"/>
              <w:rPr>
                <w:sz w:val="18"/>
                <w:szCs w:val="18"/>
                <w:color w:val="auto"/>
              </w:rPr>
            </w:pPr>
          </w:p>
        </w:tc>
      </w:tr>
      <w:tr>
        <w:trPr>
          <w:trHeight w:val="209"/>
        </w:trPr>
        <w:tc>
          <w:tcPr>
            <w:tcW w:w="402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w:t>
            </w: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w w:val="91"/>
              </w:rPr>
              <w:t>(47,088 )</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w w:val="91"/>
              </w:rPr>
              <w:t>(29,781 )</w:t>
            </w:r>
          </w:p>
        </w:tc>
        <w:tc>
          <w:tcPr>
            <w:tcW w:w="4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(17,307 )</w:t>
            </w: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Provision (benefit) for income tax</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(56 )</w:t>
            </w:r>
          </w:p>
        </w:tc>
        <w:tc>
          <w:tcPr>
            <w:tcW w:w="4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(75.7 )</w:t>
            </w:r>
          </w:p>
        </w:tc>
        <w:tc>
          <w:tcPr>
            <w:tcW w:w="60" w:type="dxa"/>
            <w:vAlign w:val="bottom"/>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10"/>
        </w:trPr>
        <w:tc>
          <w:tcPr>
            <w:tcW w:w="402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(47,106</w:t>
            </w:r>
          </w:p>
        </w:tc>
        <w:tc>
          <w:tcPr>
            <w:tcW w:w="3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(29,855</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(17,251</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57.8 %</w:t>
            </w:r>
          </w:p>
        </w:tc>
      </w:tr>
      <w:tr>
        <w:trPr>
          <w:trHeight w:val="20"/>
        </w:trPr>
        <w:tc>
          <w:tcPr>
            <w:tcW w:w="4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-3385185</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-3385185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-3385185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-3385185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-2828290</wp:posOffset>
            </wp:positionV>
            <wp:extent cx="774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-2828290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-2828290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-2271395</wp:posOffset>
            </wp:positionV>
            <wp:extent cx="7747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-2271395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-2271395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-2271395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-1713865</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-1713865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-1713865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-1156970</wp:posOffset>
            </wp:positionV>
            <wp:extent cx="774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-1156970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-1156970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-590550</wp:posOffset>
            </wp:positionV>
            <wp:extent cx="774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-590550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-590550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76" w:lineRule="exact"/>
        <w:rPr>
          <w:sz w:val="20"/>
          <w:szCs w:val="20"/>
          <w:color w:val="auto"/>
        </w:rPr>
      </w:pPr>
    </w:p>
    <w:p>
      <w:pPr>
        <w:ind w:right="120" w:firstLine="509"/>
        <w:spacing w:after="0" w:line="246"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Revenue in the six months ended June 30, 2022 was $32.1 million, an increase of $10.9 million, or 51.7%, from the prior year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The overall increase in Surgical Glaucoma revenue was attributable to a significant increase in the number of OMNI units sold in the six months ended June 30, 2022 as a result of growth in the number of facilities ordering OMNI and an increase in unit utilization per ordering facility. Our Dry Eye revenues increased in the six months ended June 30, 2022 versus the comparable period in 2021 due to the continued growth in our installed base of facilities that have purchased TearCare. Surgical Glaucoma sales represented 92.7% and 95.1% of our revenue generated in the six months ended June 30, 2022 and 2021, respectively.</w:t>
      </w:r>
    </w:p>
    <w:p>
      <w:pPr>
        <w:spacing w:after="0" w:line="185" w:lineRule="exact"/>
        <w:rPr>
          <w:sz w:val="20"/>
          <w:szCs w:val="20"/>
          <w:color w:val="auto"/>
        </w:rPr>
      </w:pPr>
    </w:p>
    <w:p>
      <w:pPr>
        <w:ind w:right="260" w:firstLine="509"/>
        <w:spacing w:after="0" w:line="263" w:lineRule="auto"/>
        <w:rPr>
          <w:sz w:val="20"/>
          <w:szCs w:val="20"/>
          <w:color w:val="auto"/>
        </w:rPr>
      </w:pPr>
      <w:r>
        <w:rPr>
          <w:rFonts w:ascii="Arial" w:cs="Arial" w:eastAsia="Arial" w:hAnsi="Arial"/>
          <w:sz w:val="17"/>
          <w:szCs w:val="17"/>
          <w:i w:val="1"/>
          <w:iCs w:val="1"/>
          <w:color w:val="auto"/>
        </w:rPr>
        <w:t>Cost of Goods Sold and Gross Profit</w:t>
      </w:r>
      <w:r>
        <w:rPr>
          <w:rFonts w:ascii="Arial" w:cs="Arial" w:eastAsia="Arial" w:hAnsi="Arial"/>
          <w:sz w:val="17"/>
          <w:szCs w:val="17"/>
          <w:color w:val="auto"/>
        </w:rPr>
        <w:t>. Cost of goods sold during the six months ended June 30, 2022, increased $1.2 million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the prior year, as an increase in cost of goods sold in our Dry Eye segment was partially offset by a decrease within our Surgical Glaucoma segment. Dry Eye cost of goods sold increased $1.4 million in the six months ended June 30, 2022 over the comparable period in 2021, which was primarily driven by $0.9 million of charges in the 2022 period associated with the voluntary recall of our SmartHub 1.0 devices. Our Surgical Glaucoma cost of goods sold decreased $0.2 million as compared to 2021, which was primarily driven by the transition of OMNI manufacturing to a high-volume offshore contract manufacturer in early 2021, which lowered our production cost per unit.</w:t>
      </w:r>
    </w:p>
    <w:p>
      <w:pPr>
        <w:spacing w:after="0" w:line="37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652" w:right="279" w:bottom="1440" w:gutter="0" w:footer="0" w:header="0"/>
        </w:sectPr>
      </w:pPr>
    </w:p>
    <w:bookmarkStart w:id="29" w:name="page30"/>
    <w:bookmarkEnd w:id="29"/>
    <w:p>
      <w:pPr>
        <w:ind w:right="40" w:firstLine="509"/>
        <w:spacing w:after="0" w:line="249" w:lineRule="auto"/>
        <w:rPr>
          <w:sz w:val="20"/>
          <w:szCs w:val="20"/>
          <w:color w:val="auto"/>
        </w:rPr>
      </w:pPr>
      <w:r>
        <w:rPr>
          <w:rFonts w:ascii="Arial" w:cs="Arial" w:eastAsia="Arial" w:hAnsi="Arial"/>
          <w:sz w:val="18"/>
          <w:szCs w:val="18"/>
          <w:color w:val="auto"/>
        </w:rPr>
        <w:t>Our total gross profit was $26.3 million in the six months ended June 30, 2022, an increase of $9.8 million from the comparable period in 2021. Our total gross margin increased from 78.2% to 82.0% from the 2021 to the 2022 period. The increase in gross margin was primarily due to increased sales volume in OMNI units and manufacturing efficiencies. Gross margin in our Surgical Glaucoma segment was 88.4% for the six months ended June 30, 2022, an increase from 82.0% for the prior year comparable period. In our Dry Eye segment, gross margin decreased from 6.5% in the first half of 2021, to 0.6% for the six months ended June 30, 2022.</w:t>
      </w:r>
    </w:p>
    <w:p>
      <w:pPr>
        <w:spacing w:after="0" w:line="182"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i w:val="1"/>
          <w:iCs w:val="1"/>
          <w:color w:val="auto"/>
        </w:rPr>
        <w:t>Research and Development ("R&amp;D") Expenses</w:t>
      </w:r>
      <w:r>
        <w:rPr>
          <w:rFonts w:ascii="Arial" w:cs="Arial" w:eastAsia="Arial" w:hAnsi="Arial"/>
          <w:sz w:val="17"/>
          <w:szCs w:val="17"/>
          <w:color w:val="auto"/>
        </w:rPr>
        <w:t>. The $4.6 million increase in R&amp;D expenses during the six months ended June 30, 2022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six months ended June 30, 2021 was primarily attributable to a $3.3 million increase in personnel expenses as a result of increased headcount, including a $0.6 million increase in stock-based compensation expense. In addition, there was a $0.6 million increase in clinical studies expense, and the remainder in other services resulted in a $0.4 million increase, driven by an overall increase in business activities.</w:t>
      </w:r>
    </w:p>
    <w:p>
      <w:pPr>
        <w:spacing w:after="0" w:line="166" w:lineRule="exact"/>
        <w:rPr>
          <w:sz w:val="20"/>
          <w:szCs w:val="20"/>
          <w:color w:val="auto"/>
        </w:rPr>
      </w:pPr>
    </w:p>
    <w:p>
      <w:pPr>
        <w:ind w:right="120" w:firstLine="509"/>
        <w:spacing w:after="0" w:line="283" w:lineRule="auto"/>
        <w:rPr>
          <w:sz w:val="20"/>
          <w:szCs w:val="20"/>
          <w:color w:val="auto"/>
        </w:rPr>
      </w:pPr>
      <w:r>
        <w:rPr>
          <w:rFonts w:ascii="Arial" w:cs="Arial" w:eastAsia="Arial" w:hAnsi="Arial"/>
          <w:sz w:val="16"/>
          <w:szCs w:val="16"/>
          <w:i w:val="1"/>
          <w:iCs w:val="1"/>
          <w:color w:val="auto"/>
        </w:rPr>
        <w:t>Selling, General, and Administrative ("SG&amp;A") Expenses</w:t>
      </w:r>
      <w:r>
        <w:rPr>
          <w:rFonts w:ascii="Arial" w:cs="Arial" w:eastAsia="Arial" w:hAnsi="Arial"/>
          <w:sz w:val="16"/>
          <w:szCs w:val="16"/>
          <w:color w:val="auto"/>
        </w:rPr>
        <w:t>. SG&amp;A expenses were $59.8 million for the six months ended June 30, 2022,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$27.5 million from the prior year comparable period. The increase was attributable to a $15.9 million increase in personnel expenses as a result of increased headcount, which included a $4.6 million increase in stock-based compensation expense. In addition to personnel expense increases, our SG&amp;A expense from 2021 to the 2022 period included a $2.7 million increase in professional services expense, including consulting and legal expenses, a $3.9 million increase in marketing expenses, a $1.3 million increase in training, events, and demos, and a $1.3 million increase in travel expenses.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was consistent during the six months ended June 30, 2022 compared to the six months ended June 30, 2021.</w:t>
      </w:r>
    </w:p>
    <w:p>
      <w:pPr>
        <w:spacing w:after="0" w:line="235" w:lineRule="exact"/>
        <w:rPr>
          <w:sz w:val="20"/>
          <w:szCs w:val="20"/>
          <w:color w:val="auto"/>
        </w:rPr>
      </w:pPr>
    </w:p>
    <w:p>
      <w:pPr>
        <w:ind w:right="160" w:firstLine="509"/>
        <w:spacing w:after="0" w:line="290" w:lineRule="auto"/>
        <w:rPr>
          <w:sz w:val="20"/>
          <w:szCs w:val="20"/>
          <w:color w:val="auto"/>
        </w:rPr>
      </w:pPr>
      <w:r>
        <w:rPr>
          <w:rFonts w:ascii="Arial" w:cs="Arial" w:eastAsia="Arial" w:hAnsi="Arial"/>
          <w:sz w:val="16"/>
          <w:szCs w:val="16"/>
          <w:i w:val="1"/>
          <w:iCs w:val="1"/>
          <w:color w:val="auto"/>
        </w:rPr>
        <w:t xml:space="preserve">Other Income (Expense), Net. </w:t>
      </w:r>
      <w:r>
        <w:rPr>
          <w:rFonts w:ascii="Arial" w:cs="Arial" w:eastAsia="Arial" w:hAnsi="Arial"/>
          <w:sz w:val="16"/>
          <w:szCs w:val="16"/>
          <w:color w:val="auto"/>
        </w:rPr>
        <w:t>Other income (expense), net was $0.1 million for the six months ended June 30, 2022 as compared to an expense of</w:t>
      </w:r>
      <w:r>
        <w:rPr>
          <w:rFonts w:ascii="Arial" w:cs="Arial" w:eastAsia="Arial" w:hAnsi="Arial"/>
          <w:sz w:val="16"/>
          <w:szCs w:val="16"/>
          <w:i w:val="1"/>
          <w:iCs w:val="1"/>
          <w:color w:val="auto"/>
        </w:rPr>
        <w:t xml:space="preserve"> </w:t>
      </w:r>
      <w:r>
        <w:rPr>
          <w:rFonts w:ascii="Arial" w:cs="Arial" w:eastAsia="Arial" w:hAnsi="Arial"/>
          <w:sz w:val="16"/>
          <w:szCs w:val="16"/>
          <w:color w:val="auto"/>
        </w:rPr>
        <w:t>$4.9 million in the six months ended June 30, 2021 period related to the remeasurement of our convertible preferred stock warrants and recognition of the change in fair value. As detailed in the notes to our financial statements included herein, the convertible preferred stock warrants were automatically converted into common stock warrants concurrent with our IPO and subsequently exercised in the third quarter of fiscal year 2021.</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gridSpan w:val="2"/>
          </w:tcPr>
          <w:p>
            <w:pPr>
              <w:spacing w:after="0"/>
              <w:rPr>
                <w:sz w:val="14"/>
                <w:szCs w:val="14"/>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88"/>
              </w:rPr>
              <w:t>(40,271 )</w:t>
            </w:r>
          </w:p>
        </w:tc>
        <w:tc>
          <w:tcPr>
            <w:tcW w:w="960" w:type="dxa"/>
            <w:vAlign w:val="bottom"/>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88"/>
              </w:rPr>
              <w:t>(25,306 )</w:t>
            </w: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(569 )</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(369 )</w:t>
            </w: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98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(264 )</w:t>
            </w:r>
          </w:p>
        </w:tc>
      </w:tr>
      <w:tr>
        <w:trPr>
          <w:trHeight w:val="20"/>
        </w:trPr>
        <w:tc>
          <w:tcPr>
            <w:tcW w:w="77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Net (decrease) increase in cash</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(40,590 )</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(25,939 )</w:t>
            </w:r>
          </w:p>
        </w:tc>
      </w:tr>
      <w:tr>
        <w:trPr>
          <w:trHeight w:val="20"/>
        </w:trPr>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04" w:lineRule="exact"/>
        <w:rPr>
          <w:sz w:val="20"/>
          <w:szCs w:val="20"/>
          <w:color w:val="auto"/>
        </w:rPr>
      </w:pPr>
    </w:p>
    <w:p>
      <w:pPr>
        <w:ind w:right="20" w:firstLine="509"/>
        <w:spacing w:after="0" w:line="280" w:lineRule="auto"/>
        <w:rPr>
          <w:sz w:val="20"/>
          <w:szCs w:val="20"/>
          <w:color w:val="auto"/>
        </w:rPr>
      </w:pPr>
      <w:r>
        <w:rPr>
          <w:rFonts w:ascii="Arial" w:cs="Arial" w:eastAsia="Arial" w:hAnsi="Arial"/>
          <w:sz w:val="16"/>
          <w:szCs w:val="16"/>
          <w:color w:val="auto"/>
        </w:rPr>
        <w:t>Net cash used in operating activities for the six months ended June 30, 2022 was $40.3 million, consisting primarily of a net loss of $47.1 million and a net change in our operating assets and liabilities of $0.9 million, partially offset by non-cash charges of $7.7 million. The change in our net operating assets and liabilities was primarily due to a $1.9 million increase in accounts receivable and a $1.6 million increase in inventory to support the continued growth of our operations. Prepaid expenses decreased by $2.1 million as balances on annual prepaid contracts decreased during the period. The Company also had a $0.6 million decrease in accounts payable, while accrued and other current liabilities increased $0.6 million, driven by the timing of payments on invoices and bonuses. The non-cash charges primarily consisted of $6.5 million related to stock-based compensation, $0.4 million of depreciation, $0.3 of accretion of debt discount and amortization of debt issuance costs, and $0.2 million of noncash operating lease expense.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0" w:name="page31"/>
    <w:bookmarkEnd w:id="30"/>
    <w:p>
      <w:pPr>
        <w:ind w:right="20" w:firstLine="509"/>
        <w:spacing w:after="0" w:line="261" w:lineRule="auto"/>
        <w:rPr>
          <w:sz w:val="20"/>
          <w:szCs w:val="20"/>
          <w:color w:val="auto"/>
        </w:rPr>
      </w:pPr>
      <w:r>
        <w:rPr>
          <w:rFonts w:ascii="Arial" w:cs="Arial" w:eastAsia="Arial" w:hAnsi="Arial"/>
          <w:sz w:val="17"/>
          <w:szCs w:val="17"/>
          <w:color w:val="auto"/>
        </w:rPr>
        <w:t>Net cash used in operating activities for the six months ended June 30, 2021 was $25.3 million, consisting primarily of a net loss of $29.9 million and a net change in our operating assets and liabilities of $2.9 million, partially offset by non-cash charges of $7.5 million. The change in our net operating assets and liabilities was primarily due to a $3.1 million increase in other noncurrent assets related to the deferred offering costs associated with the IPO, a $1.6 million increase in accounts receivable, and a $1.2 million increase in our prepaid expenses to support the continued growth of our operations, partially offset by a $1.4 million increase in accounts payable and $1.6 million in accrued and other liabilities. The non-cash charges primarily consisted of $4.9 million from the fair value remeasurement of our convertible preferred stock warrants, $1.2 million related to stock-based compensation, a $0.3 million provision for excess and obsolete inventories, $0.3 million of non-cash operating lease expense related to office lease, $0.3 million of accretion of debt discount and amortization of debt issuance costs, and $0.3 million in depreciation and amortization.</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04"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Net cash used in investing activities in the six months ended June 30, 2022 and 2021 was $0.6 million and $0.4 million for purchases of property and equipment.</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cash provided by financing activities in the six months ended June 30, 2022 related to proceeds from stock option exercises.</w:t>
      </w:r>
    </w:p>
    <w:p>
      <w:pPr>
        <w:spacing w:after="0" w:line="212"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Net cash used in financing activities in the six months ended June 30, 2021 was related to the payment of offering costs associated with the IPO of $0.5 million, offset by $0.2 million related to proceeds from stock option exercises.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To date, our primary sources of capital have been private placements of redeemable convertible preferred stock, debt financing agreements, the sale of common stock in our IPO, and revenue from the sale of our products. In July 2021, we completed our IPO, including the underwriters' full exercise of their option to purchase additional shares, selling 11,500,000 shares of our common stock at $24.00 per share. Upon completion of our IPO, we received $252.2 million, after deducting underwriting discounts and commissions and offering costs.</w:t>
      </w:r>
    </w:p>
    <w:p>
      <w:pPr>
        <w:spacing w:after="0" w:line="166" w:lineRule="exact"/>
        <w:rPr>
          <w:sz w:val="20"/>
          <w:szCs w:val="20"/>
          <w:color w:val="auto"/>
        </w:rPr>
      </w:pPr>
    </w:p>
    <w:p>
      <w:pPr>
        <w:jc w:val="both"/>
        <w:ind w:right="200" w:firstLine="509"/>
        <w:spacing w:after="0" w:line="303" w:lineRule="auto"/>
        <w:rPr>
          <w:sz w:val="20"/>
          <w:szCs w:val="20"/>
          <w:color w:val="auto"/>
        </w:rPr>
      </w:pPr>
      <w:r>
        <w:rPr>
          <w:rFonts w:ascii="Arial" w:cs="Arial" w:eastAsia="Arial" w:hAnsi="Arial"/>
          <w:sz w:val="16"/>
          <w:szCs w:val="16"/>
          <w:color w:val="auto"/>
        </w:rPr>
        <w:t>As of June 30, 2022, we had cash and cash equivalents of $220.1 million, an accumulated deficit of $200.1 million and $35.0 million outstanding under our term loan agreement (before debt discount). Based on our current planned operations, we expect our cash and cash equivalents and additional borrowings available under the 2020 Term Loan and the 2020 Revolver will enable us to fund our operations for at least the next twelve months.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MidCap Loan Agreements</w:t>
      </w:r>
    </w:p>
    <w:p>
      <w:pPr>
        <w:spacing w:after="0" w:line="104"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In January 2019, we entered into credit and security agreements with MidCap Financial Services (the "Lender"), which provided a maximum of $25.0 million credit facility consisting of a $20.0 million senior secured term loan (the "2019 Term Loan") and a $5.0 million 2019 revolving loan (the "2019 Revolver" and collectively with the 2019 Term Loan, the “2019 MidCap Credit Facility”). In November 2020, we entered into amended and restated credit and security agreements with the same institution, which replaced the 2019 MidCap Credit Facility, and provided for a maximum of $40.0 million credit facility consisting of a $35.0 million senior secured term loan (the "2020 Term Loan") and a $5.0 million revolving loan (the "2020 Revolver and collectively with the 2020 Term Loan, the “2020 MidCap Credit Facility”).</w:t>
      </w:r>
    </w:p>
    <w:p>
      <w:pPr>
        <w:spacing w:after="0" w:line="77" w:lineRule="exact"/>
        <w:rPr>
          <w:sz w:val="20"/>
          <w:szCs w:val="20"/>
          <w:color w:val="auto"/>
        </w:rPr>
      </w:pPr>
    </w:p>
    <w:p>
      <w:pPr>
        <w:ind w:right="100" w:firstLine="509"/>
        <w:spacing w:after="0" w:line="303" w:lineRule="auto"/>
        <w:rPr>
          <w:sz w:val="20"/>
          <w:szCs w:val="20"/>
          <w:color w:val="auto"/>
        </w:rPr>
      </w:pPr>
      <w:r>
        <w:rPr>
          <w:rFonts w:ascii="Arial" w:cs="Arial" w:eastAsia="Arial" w:hAnsi="Arial"/>
          <w:sz w:val="16"/>
          <w:szCs w:val="16"/>
          <w:color w:val="231F20"/>
        </w:rPr>
        <w:t>Our obligations under the 2020 MidCap Credit Facility are guaranteed by us and our future subsidiaries, subject to exceptions for certain foreign subsidiaries. Our obligations under the agreements are secured by substantially all of our assets, including our material intellectual property. Additionally, we are subject to customary affirmative and negative covenants, including covenants that limit or restrict the ability of us to, among other things,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31" w:name="page32"/>
    <w:bookmarkEnd w:id="31"/>
    <w:p>
      <w:pPr>
        <w:ind w:right="60"/>
        <w:spacing w:after="0" w:line="249" w:lineRule="auto"/>
        <w:rPr>
          <w:sz w:val="20"/>
          <w:szCs w:val="20"/>
          <w:color w:val="auto"/>
        </w:rPr>
      </w:pPr>
      <w:r>
        <w:rPr>
          <w:rFonts w:ascii="Arial" w:cs="Arial" w:eastAsia="Arial" w:hAnsi="Arial"/>
          <w:sz w:val="18"/>
          <w:szCs w:val="18"/>
          <w:color w:val="231F20"/>
        </w:rPr>
        <w:t>incur indebtedness, grant liens, merge or consolidate, make investments, dispose of assets, make acquisitions, pay dividends or make distributions, repurchase stock and enter into certain transactions with affiliates, in each case subject to certain exceptions. The 2020 MidCap Credit Facility agreements also have financial covenants that relate to minimum trailing revenue targets, which began in November 2020, and are tested on a monthly basis. As of June 30, 2022, we were in compliance with all financial and non-financial covenants.</w:t>
      </w:r>
    </w:p>
    <w:p>
      <w:pPr>
        <w:spacing w:after="0" w:line="86"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231F20"/>
        </w:rPr>
        <w:t>The MidCap Credit Facility agreements each contain events of default that include, among others, non-payment of principal, interest or fees, breach of covenants, inaccuracy of representations and warranties, cross-defaults and bankruptcy and insolvency events.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Term Loan</w:t>
      </w:r>
    </w:p>
    <w:p>
      <w:pPr>
        <w:spacing w:after="0" w:line="117" w:lineRule="exact"/>
        <w:rPr>
          <w:sz w:val="20"/>
          <w:szCs w:val="20"/>
          <w:color w:val="auto"/>
        </w:rPr>
      </w:pPr>
    </w:p>
    <w:p>
      <w:pPr>
        <w:ind w:right="100" w:firstLine="509"/>
        <w:spacing w:after="0" w:line="260" w:lineRule="auto"/>
        <w:rPr>
          <w:sz w:val="20"/>
          <w:szCs w:val="20"/>
          <w:color w:val="auto"/>
        </w:rPr>
      </w:pPr>
      <w:r>
        <w:rPr>
          <w:rFonts w:ascii="Arial" w:cs="Arial" w:eastAsia="Arial" w:hAnsi="Arial"/>
          <w:sz w:val="17"/>
          <w:szCs w:val="17"/>
          <w:color w:val="231F20"/>
        </w:rPr>
        <w:t xml:space="preserve">The 2020 Term Loan agreement amended the maturity date to November 1, 2025 and adjusted the stated floating interest rate to reserve-adjusted LIBOR, </w:t>
      </w:r>
      <w:r>
        <w:rPr>
          <w:rFonts w:ascii="Arial" w:cs="Arial" w:eastAsia="Arial" w:hAnsi="Arial"/>
          <w:sz w:val="17"/>
          <w:szCs w:val="17"/>
          <w:i w:val="1"/>
          <w:iCs w:val="1"/>
          <w:color w:val="231F20"/>
        </w:rPr>
        <w:t>plus</w:t>
      </w:r>
      <w:r>
        <w:rPr>
          <w:rFonts w:ascii="Arial" w:cs="Arial" w:eastAsia="Arial" w:hAnsi="Arial"/>
          <w:sz w:val="17"/>
          <w:szCs w:val="17"/>
          <w:color w:val="231F20"/>
        </w:rPr>
        <w:t xml:space="preserve"> 7.00%. Outstanding principal amounts of Tranche One Loans and Tranche Two Loans borrowed under the 2019 Term Loan were designated as Tranche One Loans and Tranche Two Loans under the 2020 Term Loan. The Tranche Three Loan commitment amount was increased to $21.0 million and the full amount was drawn in November 2020. Principal payments under the 2020 Term Loan are scheduled to begin in December 2022. However, if certain conditions are met, the initiation of principal payments can be delayed to either December 2023 or December 2024. In addition, the final payment fee was amended to 6.0%. We are subject to certain financial and non-financial covenants.</w:t>
      </w:r>
    </w:p>
    <w:p>
      <w:pPr>
        <w:spacing w:after="0" w:line="174" w:lineRule="exact"/>
        <w:rPr>
          <w:sz w:val="20"/>
          <w:szCs w:val="20"/>
          <w:color w:val="auto"/>
        </w:rPr>
      </w:pPr>
    </w:p>
    <w:p>
      <w:pPr>
        <w:ind w:right="260" w:firstLine="509"/>
        <w:spacing w:after="0" w:line="308" w:lineRule="auto"/>
        <w:rPr>
          <w:sz w:val="20"/>
          <w:szCs w:val="20"/>
          <w:color w:val="auto"/>
        </w:rPr>
      </w:pPr>
      <w:r>
        <w:rPr>
          <w:rFonts w:ascii="Arial" w:cs="Arial" w:eastAsia="Arial" w:hAnsi="Arial"/>
          <w:sz w:val="17"/>
          <w:szCs w:val="17"/>
          <w:color w:val="231F20"/>
        </w:rPr>
        <w:t>We incurred $0.7 million of issuance costs in conjunction with the 2020 Term Loan which were netted against the borrowed funds in the balance sheet and are being accreted using the effective interest method as interest expense over the contractual period of five years.</w:t>
      </w:r>
    </w:p>
    <w:p>
      <w:pPr>
        <w:spacing w:after="0" w:line="133"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231F20"/>
        </w:rPr>
        <w:t>In conjunction with the funding of the 2020 Term Loan, we issued a 10-year warrant to the Lender to purchase 300,000 shares of our Series F redeemable convertible preferred stock at an exercise price of $21.88 per share, or the 2020 MidCap Warrant, with the estimated fair value of $1.8 million. The 2020 MidCap Warrants were recorded at the fair value as a debt discount and as a warrant liability. The debt discount is being accreted using the effective interest method as interest expense over the contractual period of four years for the 2020 Term Loan.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Revolver</w:t>
      </w:r>
    </w:p>
    <w:p>
      <w:pPr>
        <w:spacing w:after="0" w:line="117"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231F20"/>
        </w:rPr>
        <w:t>The maturity date of the 2020 Revolver was amended to November 1, 2025 and the stated floating interest rate was adjusted to reserve-adjusted LIBOR plus 4.50%. As of June 30, 2022, $5.0 million was available to be drawn under the 2020 Revolver which remains undrawn. Other key terms of the 2020 Revolver remained substantially unchanged compared to those of 2019 Revolver.</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Agreements</w:t>
      </w:r>
    </w:p>
    <w:p>
      <w:pPr>
        <w:spacing w:after="0" w:line="104" w:lineRule="exact"/>
        <w:rPr>
          <w:sz w:val="20"/>
          <w:szCs w:val="20"/>
          <w:color w:val="auto"/>
        </w:rPr>
      </w:pPr>
    </w:p>
    <w:p>
      <w:pPr>
        <w:ind w:right="160" w:firstLine="509"/>
        <w:spacing w:after="0" w:line="249" w:lineRule="auto"/>
        <w:rPr>
          <w:sz w:val="20"/>
          <w:szCs w:val="20"/>
          <w:color w:val="auto"/>
        </w:rPr>
      </w:pPr>
      <w:r>
        <w:rPr>
          <w:rFonts w:ascii="Arial" w:cs="Arial" w:eastAsia="Arial" w:hAnsi="Arial"/>
          <w:sz w:val="18"/>
          <w:szCs w:val="18"/>
          <w:color w:val="auto"/>
        </w:rPr>
        <w:t>Our corporate headquarters are located in Menlo Park, California, where we lease approximately 10,823 square feet of office, research and development, engineering and laboratory space pursuant to a lease that commenced on August 1, 2021, and expires on August 31, 2024. We also lease approximately 2,040 square feet of office space, which is primarily used by our commercial leadership team, in Southlake, Texas, pursuant to a lease that commenced on April 30, 2019 and expires on May 15, 2024.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Our condensed consolidated financial statements included elsewhere in this Quarterly Report on Form 10-Q are prepared in accordance with GAAP. The preparation of these condensed consolidated financial statements requires us to make estimates and assumptions that affect the reported amounts of assets, liabilities, revenues,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2" w:name="page33"/>
    <w:bookmarkEnd w:id="32"/>
    <w:p>
      <w:pPr>
        <w:ind w:right="100" w:firstLine="509"/>
        <w:spacing w:after="0" w:line="249"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revenue recognition and stock-based compensation have the greatest potential impact on our condensed consolidated financial statements. Therefore, we consider these to be our critical accounting policies and estimates.</w:t>
      </w:r>
    </w:p>
    <w:p>
      <w:pPr>
        <w:spacing w:after="0" w:line="182" w:lineRule="exact"/>
        <w:rPr>
          <w:sz w:val="20"/>
          <w:szCs w:val="20"/>
          <w:color w:val="auto"/>
        </w:rPr>
      </w:pPr>
    </w:p>
    <w:p>
      <w:pPr>
        <w:ind w:right="180" w:firstLine="509"/>
        <w:spacing w:after="0" w:line="268" w:lineRule="auto"/>
        <w:rPr>
          <w:sz w:val="20"/>
          <w:szCs w:val="20"/>
          <w:color w:val="auto"/>
        </w:rPr>
      </w:pPr>
      <w:r>
        <w:rPr>
          <w:rFonts w:ascii="Arial" w:cs="Arial" w:eastAsia="Arial" w:hAnsi="Arial"/>
          <w:sz w:val="17"/>
          <w:szCs w:val="17"/>
          <w:color w:val="auto"/>
        </w:rPr>
        <w:t>There have been no material changes to our critical accounting policies and estimates as compared to the critical accounting policies and estimates described in our consolidated financial statements for the year ended December 31, 2021, included under the heading “Management’s Discussion and Analysis of Financial Condition and Results of Operations—Critical Accounting Policies and Estimates” in our 2021 Form 10-K and in Note 2 to our condensed consolidated financial statements appearing elsewhere in this Quarterly Report on Form 10-Q.</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08"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The Jumpstart Our Business Startups Act of 2012 (JOBS Act) permits an “emerging growth company” such as us to take advantage of an extended transition period to comply with new or revised accounting standards applicable to public companies. We have elected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8"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As of June 30, 2022, there are no significant Accounting Standard Updates (ASU's) issued and not yet adopted, that are expected to have a material impact on the Company's financial statements and related disclosures.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risk and foreign currency exchange rate risk. There have been no material changes to such risks from those described in our 2021 Form 10-K under "Item 3 - Quantitative and Qualitative Disclosures About Market Risk."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Our management, with the participation and supervision of our principal executive officer and our principal financial officer, evaluated our disclosure controls and procedures (as defined in Rules 13a-15(e) and 15d-15(e) under the Exchange Act).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Based on this evaluation, our principal executive officer and our principal financial officer concluded that as a result of the material weaknesses in our internal control over financial reporting described below, as of the end of the period covered by this Quarterly Report on Form 10-Q, our disclosure controls and procedures were not effective. However, our management, including our principal executive officer and our principal financial officer, has concluded that, notwithstanding the identified material weaknesses in our internal control over financial reporting, the condensed consolidated financial statements in this Quarterly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3" w:name="page34"/>
    <w:bookmarkEnd w:id="33"/>
    <w:p>
      <w:pPr>
        <w:ind w:right="400"/>
        <w:spacing w:after="0" w:line="277" w:lineRule="auto"/>
        <w:rPr>
          <w:sz w:val="20"/>
          <w:szCs w:val="20"/>
          <w:color w:val="auto"/>
        </w:rPr>
      </w:pPr>
      <w:r>
        <w:rPr>
          <w:rFonts w:ascii="Arial" w:cs="Arial" w:eastAsia="Arial" w:hAnsi="Arial"/>
          <w:sz w:val="18"/>
          <w:szCs w:val="18"/>
          <w:color w:val="auto"/>
        </w:rPr>
        <w:t>Report on Form 10-Q fairly presented, in all material respects, our financial position, results of operations, and cash flows for the periods presented in conformity with GAAP.</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 on previously reported material weaknesses</w:t>
      </w:r>
    </w:p>
    <w:p>
      <w:pPr>
        <w:spacing w:after="0" w:line="108"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 xml:space="preserve">In connection with the preparation of our financial statements in connection with our IPO, we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related to a lack of </w:t>
      </w:r>
      <w:r>
        <w:rPr>
          <w:rFonts w:ascii="Arial" w:cs="Arial" w:eastAsia="Arial" w:hAnsi="Arial"/>
          <w:sz w:val="18"/>
          <w:szCs w:val="18"/>
          <w:color w:val="231F20"/>
        </w:rPr>
        <w:t>sufficient full-time accounting personnel with requisite experience and deep technical accounting knowledge to (i)</w:t>
      </w:r>
      <w:r>
        <w:rPr>
          <w:rFonts w:ascii="Arial" w:cs="Arial" w:eastAsia="Arial" w:hAnsi="Arial"/>
          <w:sz w:val="18"/>
          <w:szCs w:val="18"/>
          <w:color w:val="auto"/>
        </w:rPr>
        <w:t xml:space="preserve"> </w:t>
      </w:r>
      <w:r>
        <w:rPr>
          <w:rFonts w:ascii="Arial" w:cs="Arial" w:eastAsia="Arial" w:hAnsi="Arial"/>
          <w:sz w:val="18"/>
          <w:szCs w:val="18"/>
          <w:color w:val="231F20"/>
        </w:rPr>
        <w:t>identify and resolve complex accounting issues under GAAP, and (ii) enable appropriate segregation of duties and reviews over the financial reviews over the financial close and reporting process.</w:t>
      </w:r>
    </w:p>
    <w:p>
      <w:pPr>
        <w:spacing w:after="0" w:line="77" w:lineRule="exact"/>
        <w:rPr>
          <w:sz w:val="20"/>
          <w:szCs w:val="20"/>
          <w:color w:val="auto"/>
        </w:rPr>
      </w:pPr>
    </w:p>
    <w:p>
      <w:pPr>
        <w:ind w:right="80" w:firstLine="509"/>
        <w:spacing w:after="0" w:line="263" w:lineRule="auto"/>
        <w:rPr>
          <w:sz w:val="20"/>
          <w:szCs w:val="20"/>
          <w:color w:val="auto"/>
        </w:rPr>
      </w:pPr>
      <w:r>
        <w:rPr>
          <w:rFonts w:ascii="Arial" w:cs="Arial" w:eastAsia="Arial" w:hAnsi="Arial"/>
          <w:sz w:val="17"/>
          <w:szCs w:val="17"/>
          <w:color w:val="231F20"/>
        </w:rPr>
        <w:t xml:space="preserve">We have implemented and are in process of implementing additional measures to improve our internal control over financial reporting to remediate this material weakness, including </w:t>
      </w:r>
      <w:r>
        <w:rPr>
          <w:rFonts w:ascii="Arial" w:cs="Arial" w:eastAsia="Arial" w:hAnsi="Arial"/>
          <w:sz w:val="17"/>
          <w:szCs w:val="17"/>
          <w:color w:val="000000"/>
        </w:rPr>
        <w:t>(i) the hiring of personnel with technical accounting and financial reporting experience and (ii) the implementation of</w:t>
      </w:r>
      <w:r>
        <w:rPr>
          <w:rFonts w:ascii="Arial" w:cs="Arial" w:eastAsia="Arial" w:hAnsi="Arial"/>
          <w:sz w:val="17"/>
          <w:szCs w:val="17"/>
          <w:color w:val="231F20"/>
        </w:rPr>
        <w:t xml:space="preserve"> </w:t>
      </w:r>
      <w:r>
        <w:rPr>
          <w:rFonts w:ascii="Arial" w:cs="Arial" w:eastAsia="Arial" w:hAnsi="Arial"/>
          <w:sz w:val="17"/>
          <w:szCs w:val="17"/>
          <w:color w:val="000000"/>
        </w:rPr>
        <w:t>improved accounting and financial reporting procedures and systems to improve the completeness, timeliness and accuracy of our financial reporting and disclosures including the assessment of more judgmental areas of accounting. We are committed to continuing to improve our internal control processes and we will continue to diligently and vigorously review our financial reporting controls and procedures.</w:t>
      </w:r>
    </w:p>
    <w:p>
      <w:pPr>
        <w:spacing w:after="0" w:line="76" w:lineRule="exact"/>
        <w:rPr>
          <w:sz w:val="20"/>
          <w:szCs w:val="20"/>
          <w:color w:val="auto"/>
        </w:rPr>
      </w:pPr>
    </w:p>
    <w:p>
      <w:pPr>
        <w:ind w:right="140" w:firstLine="509"/>
        <w:spacing w:after="0" w:line="245" w:lineRule="auto"/>
        <w:rPr>
          <w:sz w:val="20"/>
          <w:szCs w:val="20"/>
          <w:color w:val="auto"/>
        </w:rPr>
      </w:pPr>
      <w:r>
        <w:rPr>
          <w:rFonts w:ascii="Arial" w:cs="Arial" w:eastAsia="Arial" w:hAnsi="Arial"/>
          <w:sz w:val="18"/>
          <w:szCs w:val="18"/>
          <w:color w:val="231F20"/>
        </w:rPr>
        <w:t>We cannot assure you that the measures we have taken to date, and are continuing to implement, will be sufficient to remediate the material weakness we have identified or avoid potential future material weaknesses. While we believe that our efforts have improved our internal control over financial reporting, remediation of the material weaknesses will require further validation and testing of the design and operating effectiveness of internal controls over a sustained period of financial reporting cycles, and we cannot assure you that we have identified all, or that we will not in the future have additional material weaknesses.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500" w:firstLine="509"/>
        <w:spacing w:after="0" w:line="270" w:lineRule="auto"/>
        <w:rPr>
          <w:sz w:val="20"/>
          <w:szCs w:val="20"/>
          <w:color w:val="auto"/>
        </w:rPr>
      </w:pPr>
      <w:r>
        <w:rPr>
          <w:rFonts w:ascii="Arial" w:cs="Arial" w:eastAsia="Arial" w:hAnsi="Arial"/>
          <w:sz w:val="17"/>
          <w:szCs w:val="17"/>
          <w:color w:val="auto"/>
        </w:rPr>
        <w:t>Other than the changes intended to remediate the material weakness noted above, there were no changes in our internal control over financial reporting (as defined in Rules 13a-15(f) and 15d-15(f) under the Exchange Act) during the most recently completed fiscal quarter that has materially affected, or is reasonably likely to materially affect, our internal control over financial reporting.</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Please refer to Note 6, Commitments and Contingencies, in our notes to the unaudited condensed consolidated financial statements in this Quarterly Report on Form 10-Q.</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have been no material changes with respect to risk factors previously disclosed in the 2021 Form 10-K.</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08"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In July 2021, we completed our IPO. All shares sold were registered pursuant to a registration statement on Form S-1 (File No. 333-257320), as amended (the "Registration Statement"), declared effective by the SEC on July 14, 2021.</w:t>
      </w:r>
    </w:p>
    <w:p>
      <w:pPr>
        <w:spacing w:after="0" w:line="18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net proceeds from our IPO have been used and will be used, together with our cash and cash equivalents: (i) to fund ongoing and future clinical trials of OMNI and TearCare; (ii) to support the marketing and sales efforts for our products; (iii) for research and development; and (iii) for working capital and other general corporate purposes.</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has been no material change in the intended use of proceeds from our IPO as described in our Registration Statement.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48" w:right="41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exhibits are filed or furnished as a part of, or incorporated by reference into, this Quarterly Report on Form 10-Q.</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ind w:left="140"/>
              <w:spacing w:after="0"/>
              <w:rPr>
                <w:sz w:val="20"/>
                <w:szCs w:val="20"/>
                <w:color w:val="auto"/>
              </w:rPr>
            </w:pPr>
            <w:r>
              <w:rPr>
                <w:rFonts w:ascii="Arial" w:cs="Arial" w:eastAsia="Arial" w:hAnsi="Arial"/>
                <w:sz w:val="16"/>
                <w:szCs w:val="16"/>
                <w:b w:val="1"/>
                <w:bCs w:val="1"/>
                <w:color w:val="auto"/>
              </w:rPr>
              <w:t>Incorporated by</w:t>
            </w: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Pr>
          <w:p>
            <w:pPr>
              <w:ind w:left="140"/>
              <w:spacing w:after="0" w:line="175" w:lineRule="exact"/>
              <w:rPr>
                <w:sz w:val="20"/>
                <w:szCs w:val="20"/>
                <w:color w:val="auto"/>
              </w:rPr>
            </w:pPr>
            <w:r>
              <w:rPr>
                <w:rFonts w:ascii="Arial" w:cs="Arial" w:eastAsia="Arial" w:hAnsi="Arial"/>
                <w:sz w:val="16"/>
                <w:szCs w:val="16"/>
                <w:b w:val="1"/>
                <w:bCs w:val="1"/>
                <w:color w:val="auto"/>
              </w:rPr>
              <w:t>Reference</w:t>
            </w: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5" w:lineRule="exact"/>
              <w:rPr>
                <w:sz w:val="20"/>
                <w:szCs w:val="20"/>
                <w:color w:val="auto"/>
              </w:rPr>
            </w:pPr>
            <w:r>
              <w:rPr>
                <w:rFonts w:ascii="Arial" w:cs="Arial" w:eastAsia="Arial" w:hAnsi="Arial"/>
                <w:sz w:val="16"/>
                <w:szCs w:val="16"/>
                <w:b w:val="1"/>
                <w:bCs w:val="1"/>
                <w:color w:val="auto"/>
              </w:rPr>
              <w:t>Exhibit</w:t>
            </w: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60" w:type="dxa"/>
            <w:vAlign w:val="bottom"/>
            <w:gridSpan w:val="11"/>
          </w:tcPr>
          <w:p>
            <w:pPr>
              <w:spacing w:after="0" w:line="175" w:lineRule="exact"/>
              <w:rPr>
                <w:sz w:val="20"/>
                <w:szCs w:val="20"/>
                <w:color w:val="auto"/>
              </w:rPr>
            </w:pPr>
            <w:r>
              <w:rPr>
                <w:rFonts w:ascii="Arial" w:cs="Arial" w:eastAsia="Arial" w:hAnsi="Arial"/>
                <w:sz w:val="16"/>
                <w:szCs w:val="16"/>
                <w:b w:val="1"/>
                <w:bCs w:val="1"/>
                <w:color w:val="auto"/>
              </w:rPr>
              <w:t>Exhibit Description</w:t>
            </w:r>
          </w:p>
        </w:tc>
        <w:tc>
          <w:tcPr>
            <w:tcW w:w="1440" w:type="dxa"/>
            <w:vAlign w:val="bottom"/>
          </w:tcPr>
          <w:p>
            <w:pPr>
              <w:ind w:left="140"/>
              <w:spacing w:after="0" w:line="175" w:lineRule="exact"/>
              <w:rPr>
                <w:sz w:val="20"/>
                <w:szCs w:val="20"/>
                <w:color w:val="auto"/>
              </w:rPr>
            </w:pPr>
            <w:r>
              <w:rPr>
                <w:rFonts w:ascii="Arial" w:cs="Arial" w:eastAsia="Arial" w:hAnsi="Arial"/>
                <w:sz w:val="16"/>
                <w:szCs w:val="16"/>
                <w:b w:val="1"/>
                <w:bCs w:val="1"/>
                <w:color w:val="auto"/>
              </w:rPr>
              <w:t>Form</w:t>
            </w:r>
          </w:p>
        </w:tc>
        <w:tc>
          <w:tcPr>
            <w:tcW w:w="1160" w:type="dxa"/>
            <w:vAlign w:val="bottom"/>
          </w:tcPr>
          <w:p>
            <w:pPr>
              <w:ind w:left="160"/>
              <w:spacing w:after="0" w:line="175" w:lineRule="exact"/>
              <w:rPr>
                <w:sz w:val="20"/>
                <w:szCs w:val="20"/>
                <w:color w:val="auto"/>
              </w:rPr>
            </w:pPr>
            <w:r>
              <w:rPr>
                <w:rFonts w:ascii="Arial" w:cs="Arial" w:eastAsia="Arial" w:hAnsi="Arial"/>
                <w:sz w:val="16"/>
                <w:szCs w:val="16"/>
                <w:b w:val="1"/>
                <w:bCs w:val="1"/>
                <w:color w:val="auto"/>
              </w:rPr>
              <w:t>File No.</w:t>
            </w:r>
          </w:p>
        </w:tc>
        <w:tc>
          <w:tcPr>
            <w:tcW w:w="920" w:type="dxa"/>
            <w:vAlign w:val="bottom"/>
          </w:tcPr>
          <w:p>
            <w:pPr>
              <w:ind w:left="220"/>
              <w:spacing w:after="0" w:line="175" w:lineRule="exact"/>
              <w:rPr>
                <w:sz w:val="20"/>
                <w:szCs w:val="20"/>
                <w:color w:val="auto"/>
              </w:rPr>
            </w:pPr>
            <w:r>
              <w:rPr>
                <w:rFonts w:ascii="Arial" w:cs="Arial" w:eastAsia="Arial" w:hAnsi="Arial"/>
                <w:sz w:val="16"/>
                <w:szCs w:val="16"/>
                <w:b w:val="1"/>
                <w:bCs w:val="1"/>
                <w:color w:val="auto"/>
              </w:rPr>
              <w:t>Exhibit</w:t>
            </w:r>
          </w:p>
        </w:tc>
        <w:tc>
          <w:tcPr>
            <w:tcW w:w="880" w:type="dxa"/>
            <w:vAlign w:val="bottom"/>
          </w:tcPr>
          <w:p>
            <w:pPr>
              <w:ind w:left="200"/>
              <w:spacing w:after="0" w:line="175" w:lineRule="exact"/>
              <w:rPr>
                <w:sz w:val="20"/>
                <w:szCs w:val="20"/>
                <w:color w:val="auto"/>
              </w:rPr>
            </w:pPr>
            <w:r>
              <w:rPr>
                <w:rFonts w:ascii="Arial" w:cs="Arial" w:eastAsia="Arial" w:hAnsi="Arial"/>
                <w:sz w:val="16"/>
                <w:szCs w:val="16"/>
                <w:b w:val="1"/>
                <w:bCs w:val="1"/>
                <w:color w:val="auto"/>
              </w:rPr>
              <w:t>Filing</w:t>
            </w:r>
          </w:p>
        </w:tc>
        <w:tc>
          <w:tcPr>
            <w:tcW w:w="1320" w:type="dxa"/>
            <w:vAlign w:val="bottom"/>
          </w:tcPr>
          <w:p>
            <w:pPr>
              <w:ind w:left="200"/>
              <w:spacing w:after="0" w:line="175" w:lineRule="exact"/>
              <w:rPr>
                <w:sz w:val="20"/>
                <w:szCs w:val="20"/>
                <w:color w:val="auto"/>
              </w:rPr>
            </w:pPr>
            <w:r>
              <w:rPr>
                <w:rFonts w:ascii="Arial" w:cs="Arial" w:eastAsia="Arial" w:hAnsi="Arial"/>
                <w:sz w:val="16"/>
                <w:szCs w:val="16"/>
                <w:b w:val="1"/>
                <w:bCs w:val="1"/>
                <w:color w:val="auto"/>
                <w:w w:val="92"/>
              </w:rPr>
              <w:t>Filed/Furnished</w:t>
            </w:r>
          </w:p>
        </w:tc>
        <w:tc>
          <w:tcPr>
            <w:tcW w:w="0" w:type="dxa"/>
            <w:vAlign w:val="bottom"/>
          </w:tcPr>
          <w:p>
            <w:pPr>
              <w:spacing w:after="0"/>
              <w:rPr>
                <w:sz w:val="1"/>
                <w:szCs w:val="1"/>
                <w:color w:val="auto"/>
              </w:rPr>
            </w:pPr>
          </w:p>
        </w:tc>
      </w:tr>
      <w:tr>
        <w:trPr>
          <w:trHeight w:val="179"/>
        </w:trPr>
        <w:tc>
          <w:tcPr>
            <w:tcW w:w="1020" w:type="dxa"/>
            <w:vAlign w:val="bottom"/>
          </w:tcPr>
          <w:p>
            <w:pPr>
              <w:spacing w:after="0" w:line="180" w:lineRule="exact"/>
              <w:rPr>
                <w:sz w:val="20"/>
                <w:szCs w:val="20"/>
                <w:color w:val="auto"/>
              </w:rPr>
            </w:pPr>
            <w:r>
              <w:rPr>
                <w:rFonts w:ascii="Arial" w:cs="Arial" w:eastAsia="Arial" w:hAnsi="Arial"/>
                <w:sz w:val="16"/>
                <w:szCs w:val="16"/>
                <w:b w:val="1"/>
                <w:bCs w:val="1"/>
                <w:color w:val="auto"/>
              </w:rPr>
              <w:t>Number</w:t>
            </w: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ind w:left="200"/>
              <w:spacing w:after="0" w:line="180" w:lineRule="exact"/>
              <w:rPr>
                <w:sz w:val="20"/>
                <w:szCs w:val="20"/>
                <w:color w:val="auto"/>
              </w:rPr>
            </w:pPr>
            <w:r>
              <w:rPr>
                <w:rFonts w:ascii="Arial" w:cs="Arial" w:eastAsia="Arial" w:hAnsi="Arial"/>
                <w:sz w:val="16"/>
                <w:szCs w:val="16"/>
                <w:b w:val="1"/>
                <w:bCs w:val="1"/>
                <w:color w:val="auto"/>
              </w:rPr>
              <w:t>Date</w:t>
            </w:r>
          </w:p>
        </w:tc>
        <w:tc>
          <w:tcPr>
            <w:tcW w:w="1320" w:type="dxa"/>
            <w:vAlign w:val="bottom"/>
          </w:tcPr>
          <w:p>
            <w:pPr>
              <w:ind w:left="200"/>
              <w:spacing w:after="0" w:line="180" w:lineRule="exact"/>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172"/>
        </w:trPr>
        <w:tc>
          <w:tcPr>
            <w:tcW w:w="1020" w:type="dxa"/>
            <w:vAlign w:val="bottom"/>
          </w:tcPr>
          <w:p>
            <w:pPr>
              <w:spacing w:after="0" w:line="172" w:lineRule="exact"/>
              <w:rPr>
                <w:sz w:val="20"/>
                <w:szCs w:val="20"/>
                <w:color w:val="auto"/>
              </w:rPr>
            </w:pPr>
            <w:r>
              <w:rPr>
                <w:rFonts w:ascii="Arial" w:cs="Arial" w:eastAsia="Arial" w:hAnsi="Arial"/>
                <w:sz w:val="16"/>
                <w:szCs w:val="16"/>
                <w:color w:val="auto"/>
              </w:rPr>
              <w:t>3.1</w:t>
            </w:r>
          </w:p>
        </w:tc>
        <w:tc>
          <w:tcPr>
            <w:tcW w:w="4040" w:type="dxa"/>
            <w:vAlign w:val="bottom"/>
            <w:gridSpan w:val="15"/>
          </w:tcPr>
          <w:p>
            <w:pPr>
              <w:spacing w:after="0" w:line="172" w:lineRule="exact"/>
              <w:rPr>
                <w:rFonts w:ascii="Arial" w:cs="Arial" w:eastAsia="Arial" w:hAnsi="Arial"/>
                <w:sz w:val="16"/>
                <w:szCs w:val="16"/>
                <w:color w:val="0000FF"/>
                <w:w w:val="95"/>
              </w:rPr>
            </w:pPr>
            <w:hyperlink r:id="rId266">
              <w:r>
                <w:rPr>
                  <w:rFonts w:ascii="Arial" w:cs="Arial" w:eastAsia="Arial" w:hAnsi="Arial"/>
                  <w:sz w:val="16"/>
                  <w:szCs w:val="16"/>
                  <w:color w:val="0000FF"/>
                  <w:w w:val="95"/>
                </w:rPr>
                <w:t>Restated Certificate of Incorporation of Sight Sciences, Inc.</w:t>
              </w:r>
            </w:hyperlink>
          </w:p>
        </w:tc>
        <w:tc>
          <w:tcPr>
            <w:tcW w:w="1440" w:type="dxa"/>
            <w:vAlign w:val="bottom"/>
          </w:tcPr>
          <w:p>
            <w:pPr>
              <w:ind w:left="140"/>
              <w:spacing w:after="0" w:line="172" w:lineRule="exact"/>
              <w:rPr>
                <w:sz w:val="20"/>
                <w:szCs w:val="20"/>
                <w:color w:val="auto"/>
              </w:rPr>
            </w:pPr>
            <w:r>
              <w:rPr>
                <w:rFonts w:ascii="Arial" w:cs="Arial" w:eastAsia="Arial" w:hAnsi="Arial"/>
                <w:sz w:val="16"/>
                <w:szCs w:val="16"/>
                <w:color w:val="auto"/>
              </w:rPr>
              <w:t>8-K</w:t>
            </w:r>
          </w:p>
        </w:tc>
        <w:tc>
          <w:tcPr>
            <w:tcW w:w="1160" w:type="dxa"/>
            <w:vAlign w:val="bottom"/>
          </w:tcPr>
          <w:p>
            <w:pPr>
              <w:ind w:left="160"/>
              <w:spacing w:after="0" w:line="172" w:lineRule="exact"/>
              <w:rPr>
                <w:sz w:val="20"/>
                <w:szCs w:val="20"/>
                <w:color w:val="auto"/>
              </w:rPr>
            </w:pPr>
            <w:r>
              <w:rPr>
                <w:rFonts w:ascii="Arial" w:cs="Arial" w:eastAsia="Arial" w:hAnsi="Arial"/>
                <w:sz w:val="16"/>
                <w:szCs w:val="16"/>
                <w:color w:val="auto"/>
              </w:rPr>
              <w:t>001-40587</w:t>
            </w:r>
          </w:p>
        </w:tc>
        <w:tc>
          <w:tcPr>
            <w:tcW w:w="920" w:type="dxa"/>
            <w:vAlign w:val="bottom"/>
          </w:tcPr>
          <w:p>
            <w:pPr>
              <w:ind w:left="220"/>
              <w:spacing w:after="0" w:line="172" w:lineRule="exact"/>
              <w:rPr>
                <w:sz w:val="20"/>
                <w:szCs w:val="20"/>
                <w:color w:val="auto"/>
              </w:rPr>
            </w:pPr>
            <w:r>
              <w:rPr>
                <w:rFonts w:ascii="Arial" w:cs="Arial" w:eastAsia="Arial" w:hAnsi="Arial"/>
                <w:sz w:val="16"/>
                <w:szCs w:val="16"/>
                <w:color w:val="auto"/>
              </w:rPr>
              <w:t>3.1</w:t>
            </w:r>
          </w:p>
        </w:tc>
        <w:tc>
          <w:tcPr>
            <w:tcW w:w="880" w:type="dxa"/>
            <w:vAlign w:val="bottom"/>
          </w:tcPr>
          <w:p>
            <w:pPr>
              <w:ind w:left="200"/>
              <w:spacing w:after="0" w:line="172" w:lineRule="exact"/>
              <w:rPr>
                <w:sz w:val="20"/>
                <w:szCs w:val="20"/>
                <w:color w:val="auto"/>
              </w:rPr>
            </w:pPr>
            <w:r>
              <w:rPr>
                <w:rFonts w:ascii="Arial" w:cs="Arial" w:eastAsia="Arial" w:hAnsi="Arial"/>
                <w:sz w:val="16"/>
                <w:szCs w:val="16"/>
                <w:color w:val="auto"/>
              </w:rPr>
              <w:t>7/19/21</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6"/>
                <w:szCs w:val="16"/>
                <w:color w:val="auto"/>
              </w:rPr>
              <w:t>3.2</w:t>
            </w:r>
          </w:p>
        </w:tc>
        <w:tc>
          <w:tcPr>
            <w:tcW w:w="340" w:type="dxa"/>
            <w:vAlign w:val="bottom"/>
            <w:tcBorders>
              <w:left w:val="single" w:sz="8" w:color="0000EE"/>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vMerge w:val="restart"/>
          </w:tcPr>
          <w:p>
            <w:pPr>
              <w:ind w:left="140"/>
              <w:spacing w:after="0"/>
              <w:rPr>
                <w:sz w:val="20"/>
                <w:szCs w:val="20"/>
                <w:color w:val="auto"/>
              </w:rPr>
            </w:pPr>
            <w:r>
              <w:rPr>
                <w:rFonts w:ascii="Arial" w:cs="Arial" w:eastAsia="Arial" w:hAnsi="Arial"/>
                <w:sz w:val="16"/>
                <w:szCs w:val="16"/>
                <w:color w:val="auto"/>
              </w:rPr>
              <w:t>8-K</w:t>
            </w:r>
          </w:p>
        </w:tc>
        <w:tc>
          <w:tcPr>
            <w:tcW w:w="1160" w:type="dxa"/>
            <w:vAlign w:val="bottom"/>
            <w:vMerge w:val="restart"/>
          </w:tcPr>
          <w:p>
            <w:pPr>
              <w:ind w:left="160"/>
              <w:spacing w:after="0"/>
              <w:rPr>
                <w:sz w:val="20"/>
                <w:szCs w:val="20"/>
                <w:color w:val="auto"/>
              </w:rPr>
            </w:pPr>
            <w:r>
              <w:rPr>
                <w:rFonts w:ascii="Arial" w:cs="Arial" w:eastAsia="Arial" w:hAnsi="Arial"/>
                <w:sz w:val="16"/>
                <w:szCs w:val="16"/>
                <w:color w:val="auto"/>
              </w:rPr>
              <w:t>001-40587</w:t>
            </w:r>
          </w:p>
        </w:tc>
        <w:tc>
          <w:tcPr>
            <w:tcW w:w="920" w:type="dxa"/>
            <w:vAlign w:val="bottom"/>
            <w:vMerge w:val="restart"/>
          </w:tcPr>
          <w:p>
            <w:pPr>
              <w:ind w:left="220"/>
              <w:spacing w:after="0"/>
              <w:rPr>
                <w:sz w:val="20"/>
                <w:szCs w:val="20"/>
                <w:color w:val="auto"/>
              </w:rPr>
            </w:pPr>
            <w:r>
              <w:rPr>
                <w:rFonts w:ascii="Arial" w:cs="Arial" w:eastAsia="Arial" w:hAnsi="Arial"/>
                <w:sz w:val="16"/>
                <w:szCs w:val="16"/>
                <w:color w:val="auto"/>
              </w:rPr>
              <w:t>3.2</w:t>
            </w:r>
          </w:p>
        </w:tc>
        <w:tc>
          <w:tcPr>
            <w:tcW w:w="880" w:type="dxa"/>
            <w:vAlign w:val="bottom"/>
            <w:vMerge w:val="restart"/>
          </w:tcPr>
          <w:p>
            <w:pPr>
              <w:ind w:left="200"/>
              <w:spacing w:after="0"/>
              <w:rPr>
                <w:sz w:val="20"/>
                <w:szCs w:val="20"/>
                <w:color w:val="auto"/>
              </w:rPr>
            </w:pPr>
            <w:r>
              <w:rPr>
                <w:rFonts w:ascii="Arial" w:cs="Arial" w:eastAsia="Arial" w:hAnsi="Arial"/>
                <w:sz w:val="16"/>
                <w:szCs w:val="16"/>
                <w:color w:val="auto"/>
              </w:rPr>
              <w:t>7/19/21</w:t>
            </w: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040" w:type="dxa"/>
            <w:vAlign w:val="bottom"/>
            <w:gridSpan w:val="15"/>
          </w:tcPr>
          <w:p>
            <w:pPr>
              <w:spacing w:after="0" w:line="169" w:lineRule="exact"/>
              <w:rPr>
                <w:rFonts w:ascii="Arial" w:cs="Arial" w:eastAsia="Arial" w:hAnsi="Arial"/>
                <w:sz w:val="16"/>
                <w:szCs w:val="16"/>
                <w:color w:val="0000FF"/>
              </w:rPr>
            </w:pPr>
            <w:hyperlink r:id="rId267">
              <w:r>
                <w:rPr>
                  <w:rFonts w:ascii="Arial" w:cs="Arial" w:eastAsia="Arial" w:hAnsi="Arial"/>
                  <w:sz w:val="16"/>
                  <w:szCs w:val="16"/>
                  <w:color w:val="0000FF"/>
                </w:rPr>
                <w:t>Amended and Restated Bylaws of Sight Sciences, Inc.</w:t>
              </w:r>
            </w:hyperlink>
          </w:p>
        </w:tc>
        <w:tc>
          <w:tcPr>
            <w:tcW w:w="14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6"/>
                <w:szCs w:val="16"/>
                <w:color w:val="auto"/>
              </w:rPr>
              <w:t>4.1</w:t>
            </w:r>
          </w:p>
        </w:tc>
        <w:tc>
          <w:tcPr>
            <w:tcW w:w="340" w:type="dxa"/>
            <w:vAlign w:val="bottom"/>
            <w:tcBorders>
              <w:left w:val="single" w:sz="8" w:color="0000EE"/>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vMerge w:val="restart"/>
          </w:tcPr>
          <w:p>
            <w:pPr>
              <w:ind w:left="140"/>
              <w:spacing w:after="0"/>
              <w:rPr>
                <w:sz w:val="20"/>
                <w:szCs w:val="20"/>
                <w:color w:val="auto"/>
              </w:rPr>
            </w:pPr>
            <w:r>
              <w:rPr>
                <w:rFonts w:ascii="Arial" w:cs="Arial" w:eastAsia="Arial" w:hAnsi="Arial"/>
                <w:sz w:val="16"/>
                <w:szCs w:val="16"/>
                <w:color w:val="auto"/>
              </w:rPr>
              <w:t>S-1/A</w:t>
            </w:r>
          </w:p>
        </w:tc>
        <w:tc>
          <w:tcPr>
            <w:tcW w:w="1160" w:type="dxa"/>
            <w:vAlign w:val="bottom"/>
            <w:vMerge w:val="restart"/>
          </w:tcPr>
          <w:p>
            <w:pPr>
              <w:ind w:left="160"/>
              <w:spacing w:after="0"/>
              <w:rPr>
                <w:sz w:val="20"/>
                <w:szCs w:val="20"/>
                <w:color w:val="auto"/>
              </w:rPr>
            </w:pPr>
            <w:r>
              <w:rPr>
                <w:rFonts w:ascii="Arial" w:cs="Arial" w:eastAsia="Arial" w:hAnsi="Arial"/>
                <w:sz w:val="16"/>
                <w:szCs w:val="16"/>
                <w:color w:val="auto"/>
              </w:rPr>
              <w:t>333-257320</w:t>
            </w:r>
          </w:p>
        </w:tc>
        <w:tc>
          <w:tcPr>
            <w:tcW w:w="920" w:type="dxa"/>
            <w:vAlign w:val="bottom"/>
            <w:vMerge w:val="restart"/>
          </w:tcPr>
          <w:p>
            <w:pPr>
              <w:ind w:left="220"/>
              <w:spacing w:after="0"/>
              <w:rPr>
                <w:sz w:val="20"/>
                <w:szCs w:val="20"/>
                <w:color w:val="auto"/>
              </w:rPr>
            </w:pPr>
            <w:r>
              <w:rPr>
                <w:rFonts w:ascii="Arial" w:cs="Arial" w:eastAsia="Arial" w:hAnsi="Arial"/>
                <w:sz w:val="16"/>
                <w:szCs w:val="16"/>
                <w:color w:val="auto"/>
              </w:rPr>
              <w:t>4.1</w:t>
            </w:r>
          </w:p>
        </w:tc>
        <w:tc>
          <w:tcPr>
            <w:tcW w:w="880" w:type="dxa"/>
            <w:vAlign w:val="bottom"/>
            <w:vMerge w:val="restart"/>
          </w:tcPr>
          <w:p>
            <w:pPr>
              <w:ind w:left="200"/>
              <w:spacing w:after="0"/>
              <w:rPr>
                <w:sz w:val="20"/>
                <w:szCs w:val="20"/>
                <w:color w:val="auto"/>
              </w:rPr>
            </w:pPr>
            <w:r>
              <w:rPr>
                <w:rFonts w:ascii="Arial" w:cs="Arial" w:eastAsia="Arial" w:hAnsi="Arial"/>
                <w:sz w:val="16"/>
                <w:szCs w:val="16"/>
                <w:color w:val="auto"/>
              </w:rPr>
              <w:t>7/8/21</w:t>
            </w: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040" w:type="dxa"/>
            <w:vAlign w:val="bottom"/>
            <w:gridSpan w:val="15"/>
          </w:tcPr>
          <w:p>
            <w:pPr>
              <w:spacing w:after="0" w:line="169" w:lineRule="exact"/>
              <w:rPr>
                <w:rFonts w:ascii="Arial" w:cs="Arial" w:eastAsia="Arial" w:hAnsi="Arial"/>
                <w:sz w:val="16"/>
                <w:szCs w:val="16"/>
                <w:color w:val="0000FF"/>
                <w:w w:val="95"/>
              </w:rPr>
            </w:pPr>
            <w:hyperlink r:id="rId268">
              <w:r>
                <w:rPr>
                  <w:rFonts w:ascii="Arial" w:cs="Arial" w:eastAsia="Arial" w:hAnsi="Arial"/>
                  <w:sz w:val="16"/>
                  <w:szCs w:val="16"/>
                  <w:color w:val="0000FF"/>
                  <w:w w:val="95"/>
                </w:rPr>
                <w:t>Third Amended and Restated Investors’ Rights Agreement,</w:t>
              </w:r>
            </w:hyperlink>
          </w:p>
        </w:tc>
        <w:tc>
          <w:tcPr>
            <w:tcW w:w="14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20" w:type="dxa"/>
            <w:vAlign w:val="bottom"/>
            <w:vMerge w:val="restart"/>
          </w:tcPr>
          <w:p>
            <w:pPr>
              <w:spacing w:after="0"/>
              <w:rPr>
                <w:sz w:val="20"/>
                <w:szCs w:val="20"/>
                <w:color w:val="auto"/>
              </w:rPr>
            </w:pPr>
            <w:r>
              <w:rPr>
                <w:rFonts w:ascii="Arial" w:cs="Arial" w:eastAsia="Arial" w:hAnsi="Arial"/>
                <w:sz w:val="16"/>
                <w:szCs w:val="16"/>
                <w:color w:val="auto"/>
              </w:rPr>
              <w:t>4.2</w:t>
            </w:r>
          </w:p>
        </w:tc>
        <w:tc>
          <w:tcPr>
            <w:tcW w:w="3920" w:type="dxa"/>
            <w:vAlign w:val="bottom"/>
            <w:tcBorders>
              <w:top w:val="single" w:sz="8" w:color="0000FF"/>
            </w:tcBorders>
            <w:gridSpan w:val="11"/>
          </w:tcPr>
          <w:p>
            <w:pPr>
              <w:spacing w:after="0" w:line="155" w:lineRule="exact"/>
              <w:rPr>
                <w:rFonts w:ascii="Arial" w:cs="Arial" w:eastAsia="Arial" w:hAnsi="Arial"/>
                <w:sz w:val="16"/>
                <w:szCs w:val="16"/>
                <w:color w:val="0000FF"/>
              </w:rPr>
            </w:pPr>
            <w:hyperlink r:id="rId268">
              <w:r>
                <w:rPr>
                  <w:rFonts w:ascii="Arial" w:cs="Arial" w:eastAsia="Arial" w:hAnsi="Arial"/>
                  <w:sz w:val="16"/>
                  <w:szCs w:val="16"/>
                  <w:color w:val="0000FF"/>
                </w:rPr>
                <w:t>dated as of November 23, 2020, as amended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vMerge w:val="restart"/>
          </w:tcPr>
          <w:p>
            <w:pPr>
              <w:ind w:left="140"/>
              <w:spacing w:after="0"/>
              <w:rPr>
                <w:sz w:val="20"/>
                <w:szCs w:val="20"/>
                <w:color w:val="auto"/>
              </w:rPr>
            </w:pPr>
            <w:r>
              <w:rPr>
                <w:rFonts w:ascii="Arial" w:cs="Arial" w:eastAsia="Arial" w:hAnsi="Arial"/>
                <w:sz w:val="16"/>
                <w:szCs w:val="16"/>
                <w:color w:val="auto"/>
              </w:rPr>
              <w:t>S-1/A</w:t>
            </w:r>
          </w:p>
        </w:tc>
        <w:tc>
          <w:tcPr>
            <w:tcW w:w="1160" w:type="dxa"/>
            <w:vAlign w:val="bottom"/>
            <w:vMerge w:val="restart"/>
          </w:tcPr>
          <w:p>
            <w:pPr>
              <w:ind w:left="160"/>
              <w:spacing w:after="0"/>
              <w:rPr>
                <w:sz w:val="20"/>
                <w:szCs w:val="20"/>
                <w:color w:val="auto"/>
              </w:rPr>
            </w:pPr>
            <w:r>
              <w:rPr>
                <w:rFonts w:ascii="Arial" w:cs="Arial" w:eastAsia="Arial" w:hAnsi="Arial"/>
                <w:sz w:val="16"/>
                <w:szCs w:val="16"/>
                <w:color w:val="auto"/>
              </w:rPr>
              <w:t>333-257320</w:t>
            </w:r>
          </w:p>
        </w:tc>
        <w:tc>
          <w:tcPr>
            <w:tcW w:w="920" w:type="dxa"/>
            <w:vAlign w:val="bottom"/>
            <w:vMerge w:val="restart"/>
          </w:tcPr>
          <w:p>
            <w:pPr>
              <w:ind w:left="220"/>
              <w:spacing w:after="0"/>
              <w:rPr>
                <w:sz w:val="20"/>
                <w:szCs w:val="20"/>
                <w:color w:val="auto"/>
              </w:rPr>
            </w:pPr>
            <w:r>
              <w:rPr>
                <w:rFonts w:ascii="Arial" w:cs="Arial" w:eastAsia="Arial" w:hAnsi="Arial"/>
                <w:sz w:val="16"/>
                <w:szCs w:val="16"/>
                <w:color w:val="auto"/>
              </w:rPr>
              <w:t>4.2</w:t>
            </w:r>
          </w:p>
        </w:tc>
        <w:tc>
          <w:tcPr>
            <w:tcW w:w="880" w:type="dxa"/>
            <w:vAlign w:val="bottom"/>
            <w:vMerge w:val="restart"/>
          </w:tcPr>
          <w:p>
            <w:pPr>
              <w:ind w:left="200"/>
              <w:spacing w:after="0"/>
              <w:rPr>
                <w:sz w:val="20"/>
                <w:szCs w:val="20"/>
                <w:color w:val="auto"/>
              </w:rPr>
            </w:pPr>
            <w:r>
              <w:rPr>
                <w:rFonts w:ascii="Arial" w:cs="Arial" w:eastAsia="Arial" w:hAnsi="Arial"/>
                <w:sz w:val="16"/>
                <w:szCs w:val="16"/>
                <w:color w:val="auto"/>
              </w:rPr>
              <w:t>7/8/21</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340" w:type="dxa"/>
            <w:vAlign w:val="bottom"/>
            <w:tcBorders>
              <w:left w:val="single" w:sz="8" w:color="0000EE"/>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140" w:type="dxa"/>
            <w:vAlign w:val="bottom"/>
            <w:gridSpan w:val="9"/>
            <w:vMerge w:val="restart"/>
          </w:tcPr>
          <w:p>
            <w:pPr>
              <w:spacing w:after="0" w:line="175" w:lineRule="exact"/>
              <w:rPr>
                <w:rFonts w:ascii="Arial" w:cs="Arial" w:eastAsia="Arial" w:hAnsi="Arial"/>
                <w:sz w:val="16"/>
                <w:szCs w:val="16"/>
                <w:color w:val="0000FF"/>
                <w:w w:val="85"/>
              </w:rPr>
            </w:pPr>
            <w:hyperlink r:id="rId269">
              <w:r>
                <w:rPr>
                  <w:rFonts w:ascii="Arial" w:cs="Arial" w:eastAsia="Arial" w:hAnsi="Arial"/>
                  <w:sz w:val="16"/>
                  <w:szCs w:val="16"/>
                  <w:color w:val="0000FF"/>
                  <w:w w:val="85"/>
                </w:rPr>
                <w:t>shares of common</w:t>
              </w:r>
            </w:hyperlink>
          </w:p>
        </w:tc>
        <w:tc>
          <w:tcPr>
            <w:tcW w:w="1440" w:type="dxa"/>
            <w:vAlign w:val="bottom"/>
            <w:vMerge w:val="continue"/>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20" w:type="dxa"/>
            <w:vAlign w:val="bottom"/>
            <w:vMerge w:val="continue"/>
          </w:tcPr>
          <w:p>
            <w:pPr>
              <w:spacing w:after="0"/>
              <w:rPr>
                <w:sz w:val="13"/>
                <w:szCs w:val="13"/>
                <w:color w:val="auto"/>
              </w:rPr>
            </w:pPr>
          </w:p>
        </w:tc>
        <w:tc>
          <w:tcPr>
            <w:tcW w:w="2900" w:type="dxa"/>
            <w:vAlign w:val="bottom"/>
            <w:gridSpan w:val="6"/>
          </w:tcPr>
          <w:p>
            <w:pPr>
              <w:spacing w:after="0" w:line="155" w:lineRule="exact"/>
              <w:rPr>
                <w:rFonts w:ascii="Arial" w:cs="Arial" w:eastAsia="Arial" w:hAnsi="Arial"/>
                <w:sz w:val="16"/>
                <w:szCs w:val="16"/>
                <w:color w:val="0000FF"/>
                <w:w w:val="95"/>
              </w:rPr>
            </w:pPr>
            <w:hyperlink r:id="rId269">
              <w:r>
                <w:rPr>
                  <w:rFonts w:ascii="Arial" w:cs="Arial" w:eastAsia="Arial" w:hAnsi="Arial"/>
                  <w:sz w:val="16"/>
                  <w:szCs w:val="16"/>
                  <w:color w:val="0000FF"/>
                  <w:w w:val="95"/>
                </w:rPr>
                <w:t>Specimen Stock Certificate evidencing the</w:t>
              </w:r>
            </w:hyperlink>
          </w:p>
        </w:tc>
        <w:tc>
          <w:tcPr>
            <w:tcW w:w="1140" w:type="dxa"/>
            <w:vAlign w:val="bottom"/>
            <w:gridSpan w:val="9"/>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vMerge w:val="restart"/>
          </w:tcPr>
          <w:p>
            <w:pPr>
              <w:spacing w:after="0"/>
              <w:rPr>
                <w:sz w:val="20"/>
                <w:szCs w:val="20"/>
                <w:color w:val="auto"/>
              </w:rPr>
            </w:pPr>
            <w:r>
              <w:rPr>
                <w:rFonts w:ascii="Arial" w:cs="Arial" w:eastAsia="Arial" w:hAnsi="Arial"/>
                <w:sz w:val="16"/>
                <w:szCs w:val="16"/>
                <w:color w:val="auto"/>
              </w:rPr>
              <w:t>4.3</w:t>
            </w:r>
          </w:p>
        </w:tc>
        <w:tc>
          <w:tcPr>
            <w:tcW w:w="4040" w:type="dxa"/>
            <w:vAlign w:val="bottom"/>
            <w:tcBorders>
              <w:top w:val="single" w:sz="8" w:color="0000FF"/>
            </w:tcBorders>
            <w:gridSpan w:val="15"/>
          </w:tcPr>
          <w:p>
            <w:pPr>
              <w:spacing w:after="0" w:line="155" w:lineRule="exact"/>
              <w:rPr>
                <w:rFonts w:ascii="Arial" w:cs="Arial" w:eastAsia="Arial" w:hAnsi="Arial"/>
                <w:sz w:val="16"/>
                <w:szCs w:val="16"/>
                <w:color w:val="0000FF"/>
              </w:rPr>
            </w:pPr>
            <w:hyperlink r:id="rId269">
              <w:r>
                <w:rPr>
                  <w:rFonts w:ascii="Arial" w:cs="Arial" w:eastAsia="Arial" w:hAnsi="Arial"/>
                  <w:sz w:val="16"/>
                  <w:szCs w:val="16"/>
                  <w:color w:val="0000FF"/>
                </w:rPr>
                <w:t>stock</w:t>
              </w:r>
            </w:hyperlink>
          </w:p>
        </w:tc>
        <w:tc>
          <w:tcPr>
            <w:tcW w:w="1440" w:type="dxa"/>
            <w:vAlign w:val="bottom"/>
            <w:vMerge w:val="restart"/>
          </w:tcPr>
          <w:p>
            <w:pPr>
              <w:ind w:left="140"/>
              <w:spacing w:after="0"/>
              <w:rPr>
                <w:sz w:val="20"/>
                <w:szCs w:val="20"/>
                <w:color w:val="auto"/>
              </w:rPr>
            </w:pPr>
            <w:r>
              <w:rPr>
                <w:rFonts w:ascii="Arial" w:cs="Arial" w:eastAsia="Arial" w:hAnsi="Arial"/>
                <w:sz w:val="16"/>
                <w:szCs w:val="16"/>
                <w:color w:val="auto"/>
              </w:rPr>
              <w:t>S-1</w:t>
            </w:r>
          </w:p>
        </w:tc>
        <w:tc>
          <w:tcPr>
            <w:tcW w:w="1160" w:type="dxa"/>
            <w:vAlign w:val="bottom"/>
            <w:vMerge w:val="restart"/>
          </w:tcPr>
          <w:p>
            <w:pPr>
              <w:ind w:left="160"/>
              <w:spacing w:after="0"/>
              <w:rPr>
                <w:sz w:val="20"/>
                <w:szCs w:val="20"/>
                <w:color w:val="auto"/>
              </w:rPr>
            </w:pPr>
            <w:r>
              <w:rPr>
                <w:rFonts w:ascii="Arial" w:cs="Arial" w:eastAsia="Arial" w:hAnsi="Arial"/>
                <w:sz w:val="16"/>
                <w:szCs w:val="16"/>
                <w:color w:val="auto"/>
              </w:rPr>
              <w:t>333-257320</w:t>
            </w:r>
          </w:p>
        </w:tc>
        <w:tc>
          <w:tcPr>
            <w:tcW w:w="920" w:type="dxa"/>
            <w:vAlign w:val="bottom"/>
            <w:vMerge w:val="restart"/>
          </w:tcPr>
          <w:p>
            <w:pPr>
              <w:ind w:left="220"/>
              <w:spacing w:after="0"/>
              <w:rPr>
                <w:sz w:val="20"/>
                <w:szCs w:val="20"/>
                <w:color w:val="auto"/>
              </w:rPr>
            </w:pPr>
            <w:r>
              <w:rPr>
                <w:rFonts w:ascii="Arial" w:cs="Arial" w:eastAsia="Arial" w:hAnsi="Arial"/>
                <w:sz w:val="16"/>
                <w:szCs w:val="16"/>
                <w:color w:val="auto"/>
              </w:rPr>
              <w:t>4.3</w:t>
            </w:r>
          </w:p>
        </w:tc>
        <w:tc>
          <w:tcPr>
            <w:tcW w:w="880" w:type="dxa"/>
            <w:vAlign w:val="bottom"/>
            <w:vMerge w:val="restart"/>
          </w:tcPr>
          <w:p>
            <w:pPr>
              <w:ind w:left="200"/>
              <w:spacing w:after="0"/>
              <w:rPr>
                <w:sz w:val="20"/>
                <w:szCs w:val="20"/>
                <w:color w:val="auto"/>
              </w:rPr>
            </w:pPr>
            <w:r>
              <w:rPr>
                <w:rFonts w:ascii="Arial" w:cs="Arial" w:eastAsia="Arial" w:hAnsi="Arial"/>
                <w:sz w:val="16"/>
                <w:szCs w:val="16"/>
                <w:color w:val="auto"/>
              </w:rPr>
              <w:t>6/23/21</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340" w:type="dxa"/>
            <w:vAlign w:val="bottom"/>
            <w:tcBorders>
              <w:left w:val="single" w:sz="8" w:color="0000EE"/>
            </w:tcBorders>
            <w:shd w:val="clear" w:color="auto" w:fill="0000FF"/>
          </w:tcPr>
          <w:p>
            <w:pPr>
              <w:spacing w:after="0" w:line="20" w:lineRule="exact"/>
              <w:rPr>
                <w:sz w:val="1"/>
                <w:szCs w:val="1"/>
                <w:color w:val="auto"/>
              </w:rPr>
            </w:pPr>
          </w:p>
        </w:tc>
        <w:tc>
          <w:tcPr>
            <w:tcW w:w="3700" w:type="dxa"/>
            <w:vAlign w:val="bottom"/>
            <w:gridSpan w:val="14"/>
            <w:vMerge w:val="restart"/>
          </w:tcPr>
          <w:p>
            <w:pPr>
              <w:ind w:left="60"/>
              <w:spacing w:after="0" w:line="175" w:lineRule="exact"/>
              <w:rPr>
                <w:rFonts w:ascii="Arial" w:cs="Arial" w:eastAsia="Arial" w:hAnsi="Arial"/>
                <w:sz w:val="16"/>
                <w:szCs w:val="16"/>
                <w:color w:val="0000FF"/>
              </w:rPr>
            </w:pPr>
            <w:hyperlink r:id="rId270">
              <w:r>
                <w:rPr>
                  <w:rFonts w:ascii="Arial" w:cs="Arial" w:eastAsia="Arial" w:hAnsi="Arial"/>
                  <w:sz w:val="16"/>
                  <w:szCs w:val="16"/>
                  <w:color w:val="0000FF"/>
                </w:rPr>
                <w:t>of Warrant to Purchase Stock</w:t>
              </w:r>
            </w:hyperlink>
          </w:p>
        </w:tc>
        <w:tc>
          <w:tcPr>
            <w:tcW w:w="1440" w:type="dxa"/>
            <w:vAlign w:val="bottom"/>
            <w:vMerge w:val="continue"/>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20" w:type="dxa"/>
            <w:vAlign w:val="bottom"/>
            <w:vMerge w:val="continue"/>
          </w:tcPr>
          <w:p>
            <w:pPr>
              <w:spacing w:after="0"/>
              <w:rPr>
                <w:sz w:val="13"/>
                <w:szCs w:val="13"/>
                <w:color w:val="auto"/>
              </w:rPr>
            </w:pPr>
          </w:p>
        </w:tc>
        <w:tc>
          <w:tcPr>
            <w:tcW w:w="340" w:type="dxa"/>
            <w:vAlign w:val="bottom"/>
          </w:tcPr>
          <w:p>
            <w:pPr>
              <w:spacing w:after="0" w:line="155" w:lineRule="exact"/>
              <w:rPr>
                <w:rFonts w:ascii="Arial" w:cs="Arial" w:eastAsia="Arial" w:hAnsi="Arial"/>
                <w:sz w:val="16"/>
                <w:szCs w:val="16"/>
                <w:color w:val="0000FF"/>
                <w:w w:val="85"/>
              </w:rPr>
            </w:pPr>
            <w:hyperlink r:id="rId270">
              <w:r>
                <w:rPr>
                  <w:rFonts w:ascii="Arial" w:cs="Arial" w:eastAsia="Arial" w:hAnsi="Arial"/>
                  <w:sz w:val="16"/>
                  <w:szCs w:val="16"/>
                  <w:color w:val="0000FF"/>
                  <w:w w:val="85"/>
                </w:rPr>
                <w:t>Form</w:t>
              </w:r>
            </w:hyperlink>
          </w:p>
        </w:tc>
        <w:tc>
          <w:tcPr>
            <w:tcW w:w="3700" w:type="dxa"/>
            <w:vAlign w:val="bottom"/>
            <w:gridSpan w:val="14"/>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6"/>
                <w:szCs w:val="16"/>
                <w:color w:val="auto"/>
              </w:rPr>
              <w:t>10.1</w:t>
            </w:r>
          </w:p>
        </w:tc>
        <w:tc>
          <w:tcPr>
            <w:tcW w:w="13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vMerge w:val="restart"/>
          </w:tcPr>
          <w:p>
            <w:pPr>
              <w:jc w:val="center"/>
              <w:ind w:left="559"/>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040" w:type="dxa"/>
            <w:vAlign w:val="bottom"/>
            <w:gridSpan w:val="15"/>
          </w:tcPr>
          <w:p>
            <w:pPr>
              <w:spacing w:after="0" w:line="169" w:lineRule="exact"/>
              <w:rPr>
                <w:sz w:val="20"/>
                <w:szCs w:val="20"/>
                <w:color w:val="auto"/>
              </w:rPr>
            </w:pPr>
            <w:r>
              <w:rPr>
                <w:rFonts w:ascii="Arial" w:cs="Arial" w:eastAsia="Arial" w:hAnsi="Arial"/>
                <w:sz w:val="16"/>
                <w:szCs w:val="16"/>
                <w:color w:val="0000FF"/>
                <w:w w:val="95"/>
              </w:rPr>
              <w:t>Third Amendment to the Amended and Restated Credit and</w:t>
            </w: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20" w:type="dxa"/>
            <w:vAlign w:val="bottom"/>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20" w:type="dxa"/>
            <w:vAlign w:val="bottom"/>
            <w:vMerge w:val="restart"/>
          </w:tcPr>
          <w:p>
            <w:pPr>
              <w:spacing w:after="0"/>
              <w:rPr>
                <w:sz w:val="20"/>
                <w:szCs w:val="20"/>
                <w:color w:val="auto"/>
              </w:rPr>
            </w:pPr>
            <w:r>
              <w:rPr>
                <w:rFonts w:ascii="Arial" w:cs="Arial" w:eastAsia="Arial" w:hAnsi="Arial"/>
                <w:sz w:val="16"/>
                <w:szCs w:val="16"/>
                <w:color w:val="auto"/>
              </w:rPr>
              <w:t>31.1</w:t>
            </w:r>
          </w:p>
        </w:tc>
        <w:tc>
          <w:tcPr>
            <w:tcW w:w="3940" w:type="dxa"/>
            <w:vAlign w:val="bottom"/>
            <w:gridSpan w:val="12"/>
          </w:tcPr>
          <w:p>
            <w:pPr>
              <w:spacing w:after="0" w:line="155" w:lineRule="exact"/>
              <w:rPr>
                <w:sz w:val="20"/>
                <w:szCs w:val="20"/>
                <w:color w:val="auto"/>
              </w:rPr>
            </w:pPr>
            <w:r>
              <w:rPr>
                <w:rFonts w:ascii="Arial" w:cs="Arial" w:eastAsia="Arial" w:hAnsi="Arial"/>
                <w:sz w:val="16"/>
                <w:szCs w:val="16"/>
                <w:color w:val="0000FF"/>
                <w:w w:val="94"/>
              </w:rPr>
              <w:t>Security Agreement (Revolving Loan), dated May 10, 2022</w:t>
            </w: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vMerge w:val="restart"/>
          </w:tcPr>
          <w:p>
            <w:pPr>
              <w:jc w:val="center"/>
              <w:ind w:left="5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3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20" w:type="dxa"/>
            <w:vAlign w:val="bottom"/>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20" w:type="dxa"/>
            <w:vAlign w:val="bottom"/>
            <w:vMerge w:val="continue"/>
          </w:tcPr>
          <w:p>
            <w:pPr>
              <w:spacing w:after="0"/>
              <w:rPr>
                <w:sz w:val="13"/>
                <w:szCs w:val="13"/>
                <w:color w:val="auto"/>
              </w:rPr>
            </w:pPr>
          </w:p>
        </w:tc>
        <w:tc>
          <w:tcPr>
            <w:tcW w:w="3900" w:type="dxa"/>
            <w:vAlign w:val="bottom"/>
            <w:gridSpan w:val="10"/>
          </w:tcPr>
          <w:p>
            <w:pPr>
              <w:spacing w:after="0" w:line="155" w:lineRule="exact"/>
              <w:rPr>
                <w:sz w:val="20"/>
                <w:szCs w:val="20"/>
                <w:color w:val="auto"/>
              </w:rPr>
            </w:pPr>
            <w:r>
              <w:rPr>
                <w:rFonts w:ascii="Arial" w:cs="Arial" w:eastAsia="Arial" w:hAnsi="Arial"/>
                <w:sz w:val="16"/>
                <w:szCs w:val="16"/>
                <w:color w:val="0000FF"/>
                <w:w w:val="92"/>
              </w:rPr>
              <w:t>Certification of the Chief Executive Officer pursuant to Rule</w:t>
            </w:r>
          </w:p>
        </w:tc>
        <w:tc>
          <w:tcPr>
            <w:tcW w:w="6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vMerge w:val="restart"/>
          </w:tcPr>
          <w:p>
            <w:pPr>
              <w:spacing w:after="0"/>
              <w:rPr>
                <w:sz w:val="20"/>
                <w:szCs w:val="20"/>
                <w:color w:val="auto"/>
              </w:rPr>
            </w:pPr>
            <w:r>
              <w:rPr>
                <w:rFonts w:ascii="Arial" w:cs="Arial" w:eastAsia="Arial" w:hAnsi="Arial"/>
                <w:sz w:val="16"/>
                <w:szCs w:val="16"/>
                <w:color w:val="auto"/>
              </w:rPr>
              <w:t>31.2</w:t>
            </w:r>
          </w:p>
        </w:tc>
        <w:tc>
          <w:tcPr>
            <w:tcW w:w="3980" w:type="dxa"/>
            <w:vAlign w:val="bottom"/>
            <w:tcBorders>
              <w:top w:val="single" w:sz="8" w:color="0000FF"/>
            </w:tcBorders>
            <w:gridSpan w:val="14"/>
          </w:tcPr>
          <w:p>
            <w:pPr>
              <w:spacing w:after="0" w:line="155" w:lineRule="exact"/>
              <w:rPr>
                <w:sz w:val="20"/>
                <w:szCs w:val="20"/>
                <w:color w:val="auto"/>
              </w:rPr>
            </w:pPr>
            <w:r>
              <w:rPr>
                <w:rFonts w:ascii="Arial" w:cs="Arial" w:eastAsia="Arial" w:hAnsi="Arial"/>
                <w:sz w:val="16"/>
                <w:szCs w:val="16"/>
                <w:color w:val="0000FF"/>
              </w:rPr>
              <w:t>13a-14(a)/15d-14(a)</w:t>
            </w:r>
          </w:p>
        </w:tc>
        <w:tc>
          <w:tcPr>
            <w:tcW w:w="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vMerge w:val="restart"/>
          </w:tcPr>
          <w:p>
            <w:pPr>
              <w:jc w:val="center"/>
              <w:ind w:left="5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34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2700" w:type="dxa"/>
            <w:vAlign w:val="bottom"/>
            <w:gridSpan w:val="13"/>
            <w:vMerge w:val="restart"/>
          </w:tcPr>
          <w:p>
            <w:pPr>
              <w:spacing w:after="0" w:line="175" w:lineRule="exact"/>
              <w:rPr>
                <w:sz w:val="20"/>
                <w:szCs w:val="20"/>
                <w:color w:val="auto"/>
              </w:rPr>
            </w:pPr>
            <w:r>
              <w:rPr>
                <w:rFonts w:ascii="Arial" w:cs="Arial" w:eastAsia="Arial" w:hAnsi="Arial"/>
                <w:sz w:val="16"/>
                <w:szCs w:val="16"/>
                <w:color w:val="0000FF"/>
                <w:w w:val="95"/>
              </w:rPr>
              <w:t>Chief Financial Officer pursuant to Rule</w:t>
            </w:r>
          </w:p>
        </w:tc>
        <w:tc>
          <w:tcPr>
            <w:tcW w:w="1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20" w:type="dxa"/>
            <w:vAlign w:val="bottom"/>
            <w:vMerge w:val="continue"/>
          </w:tcPr>
          <w:p>
            <w:pPr>
              <w:spacing w:after="0"/>
              <w:rPr>
                <w:sz w:val="13"/>
                <w:szCs w:val="13"/>
                <w:color w:val="auto"/>
              </w:rPr>
            </w:pPr>
          </w:p>
        </w:tc>
        <w:tc>
          <w:tcPr>
            <w:tcW w:w="1340" w:type="dxa"/>
            <w:vAlign w:val="bottom"/>
            <w:gridSpan w:val="2"/>
          </w:tcPr>
          <w:p>
            <w:pPr>
              <w:spacing w:after="0" w:line="155" w:lineRule="exact"/>
              <w:rPr>
                <w:sz w:val="20"/>
                <w:szCs w:val="20"/>
                <w:color w:val="auto"/>
              </w:rPr>
            </w:pPr>
            <w:r>
              <w:rPr>
                <w:rFonts w:ascii="Arial" w:cs="Arial" w:eastAsia="Arial" w:hAnsi="Arial"/>
                <w:sz w:val="16"/>
                <w:szCs w:val="16"/>
                <w:color w:val="0000FF"/>
              </w:rPr>
              <w:t>Certification of the</w:t>
            </w:r>
          </w:p>
        </w:tc>
        <w:tc>
          <w:tcPr>
            <w:tcW w:w="2700" w:type="dxa"/>
            <w:vAlign w:val="bottom"/>
            <w:gridSpan w:val="13"/>
            <w:vMerge w:val="continue"/>
          </w:tcPr>
          <w:p>
            <w:pPr>
              <w:spacing w:after="0"/>
              <w:rPr>
                <w:sz w:val="13"/>
                <w:szCs w:val="13"/>
                <w:color w:val="auto"/>
              </w:rPr>
            </w:pPr>
          </w:p>
        </w:tc>
        <w:tc>
          <w:tcPr>
            <w:tcW w:w="1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vMerge w:val="restart"/>
          </w:tcPr>
          <w:p>
            <w:pPr>
              <w:spacing w:after="0"/>
              <w:rPr>
                <w:sz w:val="20"/>
                <w:szCs w:val="20"/>
                <w:color w:val="auto"/>
              </w:rPr>
            </w:pPr>
            <w:r>
              <w:rPr>
                <w:rFonts w:ascii="Arial" w:cs="Arial" w:eastAsia="Arial" w:hAnsi="Arial"/>
                <w:sz w:val="16"/>
                <w:szCs w:val="16"/>
                <w:color w:val="auto"/>
              </w:rPr>
              <w:t>32.1</w:t>
            </w:r>
          </w:p>
        </w:tc>
        <w:tc>
          <w:tcPr>
            <w:tcW w:w="3960" w:type="dxa"/>
            <w:vAlign w:val="bottom"/>
            <w:tcBorders>
              <w:top w:val="single" w:sz="8" w:color="0000FF"/>
            </w:tcBorders>
            <w:gridSpan w:val="13"/>
          </w:tcPr>
          <w:p>
            <w:pPr>
              <w:spacing w:after="0" w:line="155" w:lineRule="exact"/>
              <w:rPr>
                <w:sz w:val="20"/>
                <w:szCs w:val="20"/>
                <w:color w:val="auto"/>
              </w:rPr>
            </w:pPr>
            <w:r>
              <w:rPr>
                <w:rFonts w:ascii="Arial" w:cs="Arial" w:eastAsia="Arial" w:hAnsi="Arial"/>
                <w:sz w:val="16"/>
                <w:szCs w:val="16"/>
                <w:color w:val="0000FF"/>
              </w:rPr>
              <w:t>13a-14(a)/15d-14(a)</w:t>
            </w:r>
          </w:p>
        </w:tc>
        <w:tc>
          <w:tcPr>
            <w:tcW w:w="80" w:type="dxa"/>
            <w:vAlign w:val="bottom"/>
            <w:gridSpan w:val="2"/>
          </w:tcPr>
          <w:p>
            <w:pPr>
              <w:spacing w:after="0"/>
              <w:rPr>
                <w:sz w:val="13"/>
                <w:szCs w:val="13"/>
                <w:color w:val="auto"/>
              </w:rPr>
            </w:pPr>
          </w:p>
        </w:tc>
        <w:tc>
          <w:tcPr>
            <w:tcW w:w="1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vMerge w:val="restart"/>
          </w:tcPr>
          <w:p>
            <w:pPr>
              <w:jc w:val="center"/>
              <w:ind w:left="5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34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2700" w:type="dxa"/>
            <w:vAlign w:val="bottom"/>
            <w:gridSpan w:val="13"/>
            <w:vMerge w:val="restart"/>
          </w:tcPr>
          <w:p>
            <w:pPr>
              <w:spacing w:after="0" w:line="175" w:lineRule="exact"/>
              <w:rPr>
                <w:sz w:val="20"/>
                <w:szCs w:val="20"/>
                <w:color w:val="auto"/>
              </w:rPr>
            </w:pPr>
            <w:r>
              <w:rPr>
                <w:rFonts w:ascii="Arial" w:cs="Arial" w:eastAsia="Arial" w:hAnsi="Arial"/>
                <w:sz w:val="16"/>
                <w:szCs w:val="16"/>
                <w:color w:val="0000FF"/>
                <w:w w:val="99"/>
              </w:rPr>
              <w:t>Chief Executive Officer pursuant to 18</w:t>
            </w:r>
          </w:p>
        </w:tc>
        <w:tc>
          <w:tcPr>
            <w:tcW w:w="1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20" w:type="dxa"/>
            <w:vAlign w:val="bottom"/>
            <w:vMerge w:val="continue"/>
          </w:tcPr>
          <w:p>
            <w:pPr>
              <w:spacing w:after="0"/>
              <w:rPr>
                <w:sz w:val="13"/>
                <w:szCs w:val="13"/>
                <w:color w:val="auto"/>
              </w:rPr>
            </w:pPr>
          </w:p>
        </w:tc>
        <w:tc>
          <w:tcPr>
            <w:tcW w:w="1340" w:type="dxa"/>
            <w:vAlign w:val="bottom"/>
            <w:gridSpan w:val="2"/>
          </w:tcPr>
          <w:p>
            <w:pPr>
              <w:spacing w:after="0" w:line="155" w:lineRule="exact"/>
              <w:rPr>
                <w:sz w:val="20"/>
                <w:szCs w:val="20"/>
                <w:color w:val="auto"/>
              </w:rPr>
            </w:pPr>
            <w:r>
              <w:rPr>
                <w:rFonts w:ascii="Arial" w:cs="Arial" w:eastAsia="Arial" w:hAnsi="Arial"/>
                <w:sz w:val="16"/>
                <w:szCs w:val="16"/>
                <w:color w:val="0000FF"/>
              </w:rPr>
              <w:t>Certification of the</w:t>
            </w:r>
          </w:p>
        </w:tc>
        <w:tc>
          <w:tcPr>
            <w:tcW w:w="2700" w:type="dxa"/>
            <w:vAlign w:val="bottom"/>
            <w:gridSpan w:val="13"/>
            <w:vMerge w:val="continue"/>
          </w:tcPr>
          <w:p>
            <w:pPr>
              <w:spacing w:after="0"/>
              <w:rPr>
                <w:sz w:val="13"/>
                <w:szCs w:val="13"/>
                <w:color w:val="auto"/>
              </w:rPr>
            </w:pPr>
          </w:p>
        </w:tc>
        <w:tc>
          <w:tcPr>
            <w:tcW w:w="1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vMerge w:val="restart"/>
          </w:tcPr>
          <w:p>
            <w:pPr>
              <w:spacing w:after="0"/>
              <w:rPr>
                <w:sz w:val="20"/>
                <w:szCs w:val="20"/>
                <w:color w:val="auto"/>
              </w:rPr>
            </w:pPr>
            <w:r>
              <w:rPr>
                <w:rFonts w:ascii="Arial" w:cs="Arial" w:eastAsia="Arial" w:hAnsi="Arial"/>
                <w:sz w:val="16"/>
                <w:szCs w:val="16"/>
                <w:color w:val="auto"/>
              </w:rPr>
              <w:t>32.2</w:t>
            </w:r>
          </w:p>
        </w:tc>
        <w:tc>
          <w:tcPr>
            <w:tcW w:w="1340" w:type="dxa"/>
            <w:vAlign w:val="bottom"/>
            <w:tcBorders>
              <w:top w:val="single" w:sz="8" w:color="0000FF"/>
              <w:bottom w:val="single" w:sz="8" w:color="0000FF"/>
            </w:tcBorders>
            <w:gridSpan w:val="2"/>
          </w:tcPr>
          <w:p>
            <w:pPr>
              <w:spacing w:after="0" w:line="155" w:lineRule="exact"/>
              <w:rPr>
                <w:sz w:val="20"/>
                <w:szCs w:val="20"/>
                <w:color w:val="auto"/>
              </w:rPr>
            </w:pPr>
            <w:r>
              <w:rPr>
                <w:rFonts w:ascii="Arial" w:cs="Arial" w:eastAsia="Arial" w:hAnsi="Arial"/>
                <w:sz w:val="16"/>
                <w:szCs w:val="16"/>
                <w:color w:val="0000FF"/>
                <w:w w:val="92"/>
              </w:rPr>
              <w:t>U.S.C Section 1350</w:t>
            </w:r>
          </w:p>
        </w:tc>
        <w:tc>
          <w:tcPr>
            <w:tcW w:w="2540" w:type="dxa"/>
            <w:vAlign w:val="bottom"/>
            <w:tcBorders>
              <w:top w:val="single" w:sz="8" w:color="0000FF"/>
            </w:tcBorders>
            <w:gridSpan w:val="7"/>
          </w:tcPr>
          <w:p>
            <w:pPr>
              <w:spacing w:after="0"/>
              <w:rPr>
                <w:sz w:val="13"/>
                <w:szCs w:val="13"/>
                <w:color w:val="auto"/>
              </w:rPr>
            </w:pPr>
          </w:p>
        </w:tc>
        <w:tc>
          <w:tcPr>
            <w:tcW w:w="160" w:type="dxa"/>
            <w:vAlign w:val="bottom"/>
            <w:gridSpan w:val="6"/>
          </w:tcPr>
          <w:p>
            <w:pPr>
              <w:spacing w:after="0"/>
              <w:rPr>
                <w:sz w:val="13"/>
                <w:szCs w:val="13"/>
                <w:color w:val="auto"/>
              </w:rPr>
            </w:pPr>
          </w:p>
        </w:tc>
        <w:tc>
          <w:tcPr>
            <w:tcW w:w="1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vMerge w:val="restart"/>
          </w:tcPr>
          <w:p>
            <w:pPr>
              <w:jc w:val="center"/>
              <w:ind w:left="5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6"/>
        </w:trPr>
        <w:tc>
          <w:tcPr>
            <w:tcW w:w="1020" w:type="dxa"/>
            <w:vAlign w:val="bottom"/>
            <w:vMerge w:val="continue"/>
          </w:tcPr>
          <w:p>
            <w:pPr>
              <w:spacing w:after="0"/>
              <w:rPr>
                <w:sz w:val="13"/>
                <w:szCs w:val="13"/>
                <w:color w:val="auto"/>
              </w:rPr>
            </w:pPr>
          </w:p>
        </w:tc>
        <w:tc>
          <w:tcPr>
            <w:tcW w:w="1340" w:type="dxa"/>
            <w:vAlign w:val="bottom"/>
            <w:gridSpan w:val="2"/>
          </w:tcPr>
          <w:p>
            <w:pPr>
              <w:spacing w:after="0" w:line="155" w:lineRule="exact"/>
              <w:rPr>
                <w:sz w:val="20"/>
                <w:szCs w:val="20"/>
                <w:color w:val="auto"/>
              </w:rPr>
            </w:pPr>
            <w:r>
              <w:rPr>
                <w:rFonts w:ascii="Arial" w:cs="Arial" w:eastAsia="Arial" w:hAnsi="Arial"/>
                <w:sz w:val="16"/>
                <w:szCs w:val="16"/>
                <w:color w:val="0000FF"/>
              </w:rPr>
              <w:t>Certification of the</w:t>
            </w:r>
          </w:p>
        </w:tc>
        <w:tc>
          <w:tcPr>
            <w:tcW w:w="2700" w:type="dxa"/>
            <w:vAlign w:val="bottom"/>
            <w:gridSpan w:val="13"/>
          </w:tcPr>
          <w:p>
            <w:pPr>
              <w:spacing w:after="0" w:line="155" w:lineRule="exact"/>
              <w:rPr>
                <w:sz w:val="20"/>
                <w:szCs w:val="20"/>
                <w:color w:val="auto"/>
              </w:rPr>
            </w:pPr>
            <w:r>
              <w:rPr>
                <w:rFonts w:ascii="Arial" w:cs="Arial" w:eastAsia="Arial" w:hAnsi="Arial"/>
                <w:sz w:val="16"/>
                <w:szCs w:val="16"/>
                <w:color w:val="0000FF"/>
              </w:rPr>
              <w:t>Chief Financial Officer pursuant to 18</w:t>
            </w:r>
          </w:p>
        </w:tc>
        <w:tc>
          <w:tcPr>
            <w:tcW w:w="1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vMerge w:val="restart"/>
          </w:tcPr>
          <w:p>
            <w:pPr>
              <w:spacing w:after="0"/>
              <w:rPr>
                <w:sz w:val="20"/>
                <w:szCs w:val="20"/>
                <w:color w:val="auto"/>
              </w:rPr>
            </w:pPr>
            <w:r>
              <w:rPr>
                <w:rFonts w:ascii="Arial" w:cs="Arial" w:eastAsia="Arial" w:hAnsi="Arial"/>
                <w:sz w:val="16"/>
                <w:szCs w:val="16"/>
                <w:color w:val="auto"/>
              </w:rPr>
              <w:t>101.INS</w:t>
            </w:r>
          </w:p>
        </w:tc>
        <w:tc>
          <w:tcPr>
            <w:tcW w:w="1360" w:type="dxa"/>
            <w:vAlign w:val="bottom"/>
            <w:tcBorders>
              <w:top w:val="single" w:sz="8" w:color="0000FF"/>
              <w:bottom w:val="single" w:sz="8" w:color="0000FF"/>
            </w:tcBorders>
            <w:gridSpan w:val="3"/>
          </w:tcPr>
          <w:p>
            <w:pPr>
              <w:spacing w:after="0" w:line="155" w:lineRule="exact"/>
              <w:rPr>
                <w:sz w:val="20"/>
                <w:szCs w:val="20"/>
                <w:color w:val="auto"/>
              </w:rPr>
            </w:pPr>
            <w:r>
              <w:rPr>
                <w:rFonts w:ascii="Arial" w:cs="Arial" w:eastAsia="Arial" w:hAnsi="Arial"/>
                <w:sz w:val="16"/>
                <w:szCs w:val="16"/>
                <w:color w:val="0000FF"/>
                <w:w w:val="92"/>
              </w:rPr>
              <w:t>U.S.C. Section 1350</w:t>
            </w:r>
          </w:p>
        </w:tc>
        <w:tc>
          <w:tcPr>
            <w:tcW w:w="20" w:type="dxa"/>
            <w:vAlign w:val="bottom"/>
            <w:tcBorders>
              <w:top w:val="single" w:sz="8" w:color="0000FF"/>
              <w:bottom w:val="single" w:sz="8" w:color="0000EE"/>
            </w:tcBorders>
          </w:tcPr>
          <w:p>
            <w:pPr>
              <w:spacing w:after="0"/>
              <w:rPr>
                <w:sz w:val="13"/>
                <w:szCs w:val="13"/>
                <w:color w:val="auto"/>
              </w:rPr>
            </w:pPr>
          </w:p>
        </w:tc>
        <w:tc>
          <w:tcPr>
            <w:tcW w:w="2420" w:type="dxa"/>
            <w:vAlign w:val="bottom"/>
            <w:tcBorders>
              <w:top w:val="single" w:sz="8" w:color="0000FF"/>
            </w:tcBorders>
            <w:gridSpan w:val="4"/>
          </w:tcPr>
          <w:p>
            <w:pPr>
              <w:spacing w:after="0"/>
              <w:rPr>
                <w:sz w:val="13"/>
                <w:szCs w:val="13"/>
                <w:color w:val="auto"/>
              </w:rPr>
            </w:pPr>
          </w:p>
        </w:tc>
        <w:tc>
          <w:tcPr>
            <w:tcW w:w="240" w:type="dxa"/>
            <w:vAlign w:val="bottom"/>
            <w:gridSpan w:val="7"/>
          </w:tcPr>
          <w:p>
            <w:pPr>
              <w:spacing w:after="0"/>
              <w:rPr>
                <w:sz w:val="13"/>
                <w:szCs w:val="13"/>
                <w:color w:val="auto"/>
              </w:rPr>
            </w:pPr>
          </w:p>
        </w:tc>
        <w:tc>
          <w:tcPr>
            <w:tcW w:w="1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vMerge w:val="restart"/>
          </w:tcPr>
          <w:p>
            <w:pPr>
              <w:jc w:val="center"/>
              <w:ind w:left="5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9"/>
        </w:trPr>
        <w:tc>
          <w:tcPr>
            <w:tcW w:w="1020" w:type="dxa"/>
            <w:vAlign w:val="bottom"/>
            <w:vMerge w:val="continue"/>
          </w:tcPr>
          <w:p>
            <w:pPr>
              <w:spacing w:after="0"/>
              <w:rPr>
                <w:sz w:val="13"/>
                <w:szCs w:val="13"/>
                <w:color w:val="auto"/>
              </w:rPr>
            </w:pPr>
          </w:p>
        </w:tc>
        <w:tc>
          <w:tcPr>
            <w:tcW w:w="1380" w:type="dxa"/>
            <w:vAlign w:val="bottom"/>
            <w:gridSpan w:val="4"/>
          </w:tcPr>
          <w:p>
            <w:pPr>
              <w:spacing w:after="0" w:line="159" w:lineRule="exact"/>
              <w:rPr>
                <w:sz w:val="20"/>
                <w:szCs w:val="20"/>
                <w:color w:val="auto"/>
              </w:rPr>
            </w:pPr>
            <w:r>
              <w:rPr>
                <w:rFonts w:ascii="Arial" w:cs="Arial" w:eastAsia="Arial" w:hAnsi="Arial"/>
                <w:sz w:val="16"/>
                <w:szCs w:val="16"/>
                <w:color w:val="auto"/>
                <w:w w:val="90"/>
              </w:rPr>
              <w:t>Inline XBRL Instance</w:t>
            </w:r>
          </w:p>
        </w:tc>
        <w:tc>
          <w:tcPr>
            <w:tcW w:w="2660" w:type="dxa"/>
            <w:vAlign w:val="bottom"/>
            <w:gridSpan w:val="11"/>
          </w:tcPr>
          <w:p>
            <w:pPr>
              <w:ind w:left="100"/>
              <w:spacing w:after="0" w:line="159" w:lineRule="exact"/>
              <w:rPr>
                <w:sz w:val="20"/>
                <w:szCs w:val="20"/>
                <w:color w:val="auto"/>
              </w:rPr>
            </w:pPr>
            <w:r>
              <w:rPr>
                <w:rFonts w:ascii="Arial" w:cs="Arial" w:eastAsia="Arial" w:hAnsi="Arial"/>
                <w:sz w:val="16"/>
                <w:szCs w:val="16"/>
                <w:color w:val="auto"/>
              </w:rPr>
              <w:t>Document - the instance document</w:t>
            </w:r>
          </w:p>
        </w:tc>
        <w:tc>
          <w:tcPr>
            <w:tcW w:w="1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4040" w:type="dxa"/>
            <w:vAlign w:val="bottom"/>
            <w:gridSpan w:val="15"/>
          </w:tcPr>
          <w:p>
            <w:pPr>
              <w:spacing w:after="0" w:line="162" w:lineRule="exact"/>
              <w:rPr>
                <w:sz w:val="20"/>
                <w:szCs w:val="20"/>
                <w:color w:val="auto"/>
              </w:rPr>
            </w:pPr>
            <w:r>
              <w:rPr>
                <w:rFonts w:ascii="Arial" w:cs="Arial" w:eastAsia="Arial" w:hAnsi="Arial"/>
                <w:sz w:val="16"/>
                <w:szCs w:val="16"/>
                <w:color w:val="auto"/>
                <w:w w:val="91"/>
              </w:rPr>
              <w:t>does not appear in the Interactive Data File because its XBRL</w:t>
            </w: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4040" w:type="dxa"/>
            <w:vAlign w:val="bottom"/>
            <w:gridSpan w:val="15"/>
          </w:tcPr>
          <w:p>
            <w:pPr>
              <w:spacing w:after="0"/>
              <w:rPr>
                <w:sz w:val="20"/>
                <w:szCs w:val="20"/>
                <w:color w:val="auto"/>
              </w:rPr>
            </w:pPr>
            <w:r>
              <w:rPr>
                <w:rFonts w:ascii="Arial" w:cs="Arial" w:eastAsia="Arial" w:hAnsi="Arial"/>
                <w:sz w:val="16"/>
                <w:szCs w:val="16"/>
                <w:color w:val="auto"/>
              </w:rPr>
              <w:t>tags are embedded within the Inline XBRL document</w:t>
            </w:r>
          </w:p>
        </w:tc>
        <w:tc>
          <w:tcPr>
            <w:tcW w:w="1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20" w:type="dxa"/>
            <w:vAlign w:val="bottom"/>
          </w:tcPr>
          <w:p>
            <w:pPr>
              <w:spacing w:after="0"/>
              <w:rPr>
                <w:sz w:val="20"/>
                <w:szCs w:val="20"/>
                <w:color w:val="auto"/>
              </w:rPr>
            </w:pPr>
            <w:r>
              <w:rPr>
                <w:rFonts w:ascii="Arial" w:cs="Arial" w:eastAsia="Arial" w:hAnsi="Arial"/>
                <w:sz w:val="16"/>
                <w:szCs w:val="16"/>
                <w:color w:val="auto"/>
              </w:rPr>
              <w:t>101.SCH</w:t>
            </w:r>
          </w:p>
        </w:tc>
        <w:tc>
          <w:tcPr>
            <w:tcW w:w="4040" w:type="dxa"/>
            <w:vAlign w:val="bottom"/>
            <w:gridSpan w:val="15"/>
          </w:tcPr>
          <w:p>
            <w:pPr>
              <w:spacing w:after="0"/>
              <w:rPr>
                <w:sz w:val="20"/>
                <w:szCs w:val="20"/>
                <w:color w:val="auto"/>
              </w:rPr>
            </w:pPr>
            <w:r>
              <w:rPr>
                <w:rFonts w:ascii="Arial" w:cs="Arial" w:eastAsia="Arial" w:hAnsi="Arial"/>
                <w:sz w:val="16"/>
                <w:szCs w:val="16"/>
                <w:color w:val="auto"/>
              </w:rPr>
              <w:t>Inline XBRL Taxonomy Extension Schema Document</w:t>
            </w:r>
          </w:p>
        </w:tc>
        <w:tc>
          <w:tcPr>
            <w:tcW w:w="1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20" w:type="dxa"/>
            <w:vAlign w:val="bottom"/>
          </w:tcPr>
          <w:p>
            <w:pPr>
              <w:jc w:val="center"/>
              <w:ind w:left="5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1020" w:type="dxa"/>
            <w:vAlign w:val="bottom"/>
          </w:tcPr>
          <w:p>
            <w:pPr>
              <w:spacing w:after="0" w:line="175" w:lineRule="exact"/>
              <w:rPr>
                <w:sz w:val="20"/>
                <w:szCs w:val="20"/>
                <w:color w:val="auto"/>
              </w:rPr>
            </w:pPr>
            <w:r>
              <w:rPr>
                <w:rFonts w:ascii="Arial" w:cs="Arial" w:eastAsia="Arial" w:hAnsi="Arial"/>
                <w:sz w:val="16"/>
                <w:szCs w:val="16"/>
                <w:color w:val="auto"/>
              </w:rPr>
              <w:t>101.CAL</w:t>
            </w:r>
          </w:p>
        </w:tc>
        <w:tc>
          <w:tcPr>
            <w:tcW w:w="4040" w:type="dxa"/>
            <w:vAlign w:val="bottom"/>
            <w:gridSpan w:val="15"/>
          </w:tcPr>
          <w:p>
            <w:pPr>
              <w:spacing w:after="0" w:line="175" w:lineRule="exact"/>
              <w:rPr>
                <w:sz w:val="20"/>
                <w:szCs w:val="20"/>
                <w:color w:val="auto"/>
              </w:rPr>
            </w:pPr>
            <w:r>
              <w:rPr>
                <w:rFonts w:ascii="Arial" w:cs="Arial" w:eastAsia="Arial" w:hAnsi="Arial"/>
                <w:sz w:val="16"/>
                <w:szCs w:val="16"/>
                <w:color w:val="auto"/>
              </w:rPr>
              <w:t>Inline XBRL Taxonomy Extension Calculation Linkbase</w:t>
            </w: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jc w:val="center"/>
              <w:ind w:left="559"/>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040" w:type="dxa"/>
            <w:vAlign w:val="bottom"/>
            <w:gridSpan w:val="15"/>
          </w:tcPr>
          <w:p>
            <w:pPr>
              <w:spacing w:after="0" w:line="175" w:lineRule="exact"/>
              <w:rPr>
                <w:sz w:val="20"/>
                <w:szCs w:val="20"/>
                <w:color w:val="auto"/>
              </w:rPr>
            </w:pPr>
            <w:r>
              <w:rPr>
                <w:rFonts w:ascii="Arial" w:cs="Arial" w:eastAsia="Arial" w:hAnsi="Arial"/>
                <w:sz w:val="16"/>
                <w:szCs w:val="16"/>
                <w:color w:val="auto"/>
              </w:rPr>
              <w:t>Document</w:t>
            </w: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5" w:lineRule="exact"/>
              <w:rPr>
                <w:sz w:val="20"/>
                <w:szCs w:val="20"/>
                <w:color w:val="auto"/>
              </w:rPr>
            </w:pPr>
            <w:r>
              <w:rPr>
                <w:rFonts w:ascii="Arial" w:cs="Arial" w:eastAsia="Arial" w:hAnsi="Arial"/>
                <w:sz w:val="16"/>
                <w:szCs w:val="16"/>
                <w:color w:val="auto"/>
              </w:rPr>
              <w:t>101.DEF</w:t>
            </w:r>
          </w:p>
        </w:tc>
        <w:tc>
          <w:tcPr>
            <w:tcW w:w="4040" w:type="dxa"/>
            <w:vAlign w:val="bottom"/>
            <w:gridSpan w:val="15"/>
          </w:tcPr>
          <w:p>
            <w:pPr>
              <w:spacing w:after="0" w:line="175" w:lineRule="exact"/>
              <w:rPr>
                <w:sz w:val="20"/>
                <w:szCs w:val="20"/>
                <w:color w:val="auto"/>
              </w:rPr>
            </w:pPr>
            <w:r>
              <w:rPr>
                <w:rFonts w:ascii="Arial" w:cs="Arial" w:eastAsia="Arial" w:hAnsi="Arial"/>
                <w:sz w:val="16"/>
                <w:szCs w:val="16"/>
                <w:color w:val="auto"/>
              </w:rPr>
              <w:t>Inline XBRL Taxonomy Extension Definition Linkbase</w:t>
            </w: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jc w:val="center"/>
              <w:ind w:left="559"/>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040" w:type="dxa"/>
            <w:vAlign w:val="bottom"/>
            <w:gridSpan w:val="15"/>
          </w:tcPr>
          <w:p>
            <w:pPr>
              <w:spacing w:after="0" w:line="175" w:lineRule="exact"/>
              <w:rPr>
                <w:sz w:val="20"/>
                <w:szCs w:val="20"/>
                <w:color w:val="auto"/>
              </w:rPr>
            </w:pPr>
            <w:r>
              <w:rPr>
                <w:rFonts w:ascii="Arial" w:cs="Arial" w:eastAsia="Arial" w:hAnsi="Arial"/>
                <w:sz w:val="16"/>
                <w:szCs w:val="16"/>
                <w:color w:val="auto"/>
              </w:rPr>
              <w:t>Document</w:t>
            </w: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5" w:lineRule="exact"/>
              <w:rPr>
                <w:sz w:val="20"/>
                <w:szCs w:val="20"/>
                <w:color w:val="auto"/>
              </w:rPr>
            </w:pPr>
            <w:r>
              <w:rPr>
                <w:rFonts w:ascii="Arial" w:cs="Arial" w:eastAsia="Arial" w:hAnsi="Arial"/>
                <w:sz w:val="16"/>
                <w:szCs w:val="16"/>
                <w:color w:val="auto"/>
              </w:rPr>
              <w:t>101.LAB</w:t>
            </w:r>
          </w:p>
        </w:tc>
        <w:tc>
          <w:tcPr>
            <w:tcW w:w="4040" w:type="dxa"/>
            <w:vAlign w:val="bottom"/>
            <w:gridSpan w:val="15"/>
          </w:tcPr>
          <w:p>
            <w:pPr>
              <w:spacing w:after="0" w:line="175" w:lineRule="exact"/>
              <w:rPr>
                <w:sz w:val="20"/>
                <w:szCs w:val="20"/>
                <w:color w:val="auto"/>
              </w:rPr>
            </w:pPr>
            <w:r>
              <w:rPr>
                <w:rFonts w:ascii="Arial" w:cs="Arial" w:eastAsia="Arial" w:hAnsi="Arial"/>
                <w:sz w:val="16"/>
                <w:szCs w:val="16"/>
                <w:color w:val="auto"/>
              </w:rPr>
              <w:t>Inline XBRL Taxonomy Extension Label Linkbase</w:t>
            </w: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jc w:val="center"/>
              <w:ind w:left="559"/>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040" w:type="dxa"/>
            <w:vAlign w:val="bottom"/>
            <w:gridSpan w:val="15"/>
          </w:tcPr>
          <w:p>
            <w:pPr>
              <w:spacing w:after="0" w:line="175" w:lineRule="exact"/>
              <w:rPr>
                <w:sz w:val="20"/>
                <w:szCs w:val="20"/>
                <w:color w:val="auto"/>
              </w:rPr>
            </w:pPr>
            <w:r>
              <w:rPr>
                <w:rFonts w:ascii="Arial" w:cs="Arial" w:eastAsia="Arial" w:hAnsi="Arial"/>
                <w:sz w:val="16"/>
                <w:szCs w:val="16"/>
                <w:color w:val="auto"/>
              </w:rPr>
              <w:t>Document</w:t>
            </w: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5" w:lineRule="exact"/>
              <w:rPr>
                <w:sz w:val="20"/>
                <w:szCs w:val="20"/>
                <w:color w:val="auto"/>
              </w:rPr>
            </w:pPr>
            <w:r>
              <w:rPr>
                <w:rFonts w:ascii="Arial" w:cs="Arial" w:eastAsia="Arial" w:hAnsi="Arial"/>
                <w:sz w:val="16"/>
                <w:szCs w:val="16"/>
                <w:color w:val="auto"/>
              </w:rPr>
              <w:t>101.PRE</w:t>
            </w:r>
          </w:p>
        </w:tc>
        <w:tc>
          <w:tcPr>
            <w:tcW w:w="4040" w:type="dxa"/>
            <w:vAlign w:val="bottom"/>
            <w:gridSpan w:val="15"/>
          </w:tcPr>
          <w:p>
            <w:pPr>
              <w:spacing w:after="0" w:line="175" w:lineRule="exact"/>
              <w:rPr>
                <w:sz w:val="20"/>
                <w:szCs w:val="20"/>
                <w:color w:val="auto"/>
              </w:rPr>
            </w:pPr>
            <w:r>
              <w:rPr>
                <w:rFonts w:ascii="Arial" w:cs="Arial" w:eastAsia="Arial" w:hAnsi="Arial"/>
                <w:sz w:val="16"/>
                <w:szCs w:val="16"/>
                <w:color w:val="auto"/>
              </w:rPr>
              <w:t>Inline XBRL Taxonomy Extension Presentation Linkbase</w:t>
            </w: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jc w:val="center"/>
              <w:ind w:left="559"/>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4040" w:type="dxa"/>
            <w:vAlign w:val="bottom"/>
            <w:gridSpan w:val="15"/>
          </w:tcPr>
          <w:p>
            <w:pPr>
              <w:spacing w:after="0" w:line="175" w:lineRule="exact"/>
              <w:rPr>
                <w:sz w:val="20"/>
                <w:szCs w:val="20"/>
                <w:color w:val="auto"/>
              </w:rPr>
            </w:pPr>
            <w:r>
              <w:rPr>
                <w:rFonts w:ascii="Arial" w:cs="Arial" w:eastAsia="Arial" w:hAnsi="Arial"/>
                <w:sz w:val="16"/>
                <w:szCs w:val="16"/>
                <w:color w:val="auto"/>
              </w:rPr>
              <w:t>Document</w:t>
            </w: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5" w:lineRule="exact"/>
              <w:rPr>
                <w:sz w:val="20"/>
                <w:szCs w:val="20"/>
                <w:color w:val="auto"/>
              </w:rPr>
            </w:pPr>
            <w:r>
              <w:rPr>
                <w:rFonts w:ascii="Arial" w:cs="Arial" w:eastAsia="Arial" w:hAnsi="Arial"/>
                <w:sz w:val="16"/>
                <w:szCs w:val="16"/>
                <w:color w:val="auto"/>
              </w:rPr>
              <w:t>104</w:t>
            </w:r>
          </w:p>
        </w:tc>
        <w:tc>
          <w:tcPr>
            <w:tcW w:w="4040" w:type="dxa"/>
            <w:vAlign w:val="bottom"/>
            <w:gridSpan w:val="15"/>
          </w:tcPr>
          <w:p>
            <w:pPr>
              <w:spacing w:after="0" w:line="175" w:lineRule="exact"/>
              <w:rPr>
                <w:sz w:val="20"/>
                <w:szCs w:val="20"/>
                <w:color w:val="auto"/>
              </w:rPr>
            </w:pPr>
            <w:r>
              <w:rPr>
                <w:rFonts w:ascii="Arial" w:cs="Arial" w:eastAsia="Arial" w:hAnsi="Arial"/>
                <w:sz w:val="16"/>
                <w:szCs w:val="16"/>
                <w:color w:val="auto"/>
                <w:w w:val="95"/>
              </w:rPr>
              <w:t>Cover Page Interactive Data File (formatted as Inline XBRL</w:t>
            </w: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jc w:val="center"/>
              <w:ind w:left="559"/>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4040" w:type="dxa"/>
            <w:vAlign w:val="bottom"/>
            <w:gridSpan w:val="15"/>
          </w:tcPr>
          <w:p>
            <w:pPr>
              <w:spacing w:after="0"/>
              <w:rPr>
                <w:sz w:val="20"/>
                <w:szCs w:val="20"/>
                <w:color w:val="auto"/>
              </w:rPr>
            </w:pPr>
            <w:r>
              <w:rPr>
                <w:rFonts w:ascii="Arial" w:cs="Arial" w:eastAsia="Arial" w:hAnsi="Arial"/>
                <w:sz w:val="16"/>
                <w:szCs w:val="16"/>
                <w:color w:val="auto"/>
              </w:rPr>
              <w:t>and contained in Exhibit 101)</w:t>
            </w:r>
          </w:p>
        </w:tc>
        <w:tc>
          <w:tcPr>
            <w:tcW w:w="1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620" w:hanging="612"/>
        <w:spacing w:after="0"/>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6" w:lineRule="exact"/>
        <w:rPr>
          <w:sz w:val="20"/>
          <w:szCs w:val="20"/>
          <w:color w:val="auto"/>
        </w:rPr>
      </w:pPr>
    </w:p>
    <w:p>
      <w:pPr>
        <w:ind w:left="620" w:hanging="612"/>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24" w:right="779" w:bottom="1440" w:gutter="0" w:footer="0" w:header="0"/>
        </w:sectPr>
      </w:pPr>
    </w:p>
    <w:bookmarkStart w:id="36" w:name="page37"/>
    <w:bookmarkEnd w:id="36"/>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SIGHT SCIENCES, INC</w:t>
      </w:r>
    </w:p>
    <w:p>
      <w:pPr>
        <w:spacing w:after="0" w:line="198" w:lineRule="exact"/>
        <w:rPr>
          <w:sz w:val="20"/>
          <w:szCs w:val="20"/>
          <w:color w:val="auto"/>
        </w:rPr>
      </w:pPr>
    </w:p>
    <w:p>
      <w:pPr>
        <w:ind w:left="6160" w:right="3060" w:hanging="6520"/>
        <w:spacing w:after="0" w:line="251" w:lineRule="auto"/>
        <w:tabs>
          <w:tab w:leader="none" w:pos="6140" w:val="left"/>
        </w:tabs>
        <w:rPr>
          <w:sz w:val="20"/>
          <w:szCs w:val="20"/>
          <w:color w:val="auto"/>
        </w:rPr>
      </w:pPr>
      <w:r>
        <w:rPr>
          <w:rFonts w:ascii="Arial" w:cs="Arial" w:eastAsia="Arial" w:hAnsi="Arial"/>
          <w:sz w:val="18"/>
          <w:szCs w:val="18"/>
          <w:color w:val="auto"/>
        </w:rPr>
        <w:t>August 11, 2022</w:t>
      </w:r>
      <w:r>
        <w:rPr>
          <w:sz w:val="20"/>
          <w:szCs w:val="20"/>
          <w:color w:val="auto"/>
        </w:rPr>
        <w:tab/>
      </w:r>
      <w:r>
        <w:rPr>
          <w:rFonts w:ascii="Arial" w:cs="Arial" w:eastAsia="Arial" w:hAnsi="Arial"/>
          <w:sz w:val="18"/>
          <w:szCs w:val="18"/>
          <w:color w:val="auto"/>
        </w:rPr>
        <w:t>By: /s/ Paul Badawi Paul Badawi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-128270</wp:posOffset>
            </wp:positionV>
            <wp:extent cx="291465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24" w:right="779" w:bottom="1440" w:gutter="0" w:footer="0" w:header="0"/>
        </w:sectPr>
      </w:pPr>
    </w:p>
    <w:bookmarkStart w:id="37" w:name="page38"/>
    <w:bookmarkEnd w:id="37"/>
    <w:p>
      <w:pPr>
        <w:ind w:left="10120"/>
        <w:spacing w:after="0"/>
        <w:rPr>
          <w:sz w:val="20"/>
          <w:szCs w:val="20"/>
          <w:color w:val="auto"/>
        </w:rPr>
      </w:pPr>
      <w:r>
        <w:rPr>
          <w:rFonts w:ascii="Arial" w:cs="Arial" w:eastAsia="Arial" w:hAnsi="Arial"/>
          <w:sz w:val="19"/>
          <w:szCs w:val="19"/>
          <w:b w:val="1"/>
          <w:bCs w:val="1"/>
          <w:color w:val="auto"/>
        </w:rPr>
        <w:t>Exhibit 10.1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THIRD AMENDMENT TO AMENDED AND RESTATED CREDIT AND SECURITY AGREEMENT (REVOLVING LOAN)</w:t>
      </w:r>
    </w:p>
    <w:p>
      <w:pPr>
        <w:spacing w:after="0" w:line="276" w:lineRule="exact"/>
        <w:rPr>
          <w:sz w:val="20"/>
          <w:szCs w:val="20"/>
          <w:color w:val="auto"/>
        </w:rPr>
      </w:pPr>
    </w:p>
    <w:p>
      <w:pPr>
        <w:jc w:val="both"/>
        <w:ind w:firstLine="396"/>
        <w:spacing w:after="0" w:line="241" w:lineRule="auto"/>
        <w:rPr>
          <w:sz w:val="20"/>
          <w:szCs w:val="20"/>
          <w:color w:val="auto"/>
        </w:rPr>
      </w:pPr>
      <w:r>
        <w:rPr>
          <w:rFonts w:ascii="Arial" w:cs="Arial" w:eastAsia="Arial" w:hAnsi="Arial"/>
          <w:sz w:val="20"/>
          <w:szCs w:val="20"/>
          <w:color w:val="auto"/>
        </w:rPr>
        <w:t>This THIRD AMENDMENT TO AMENDED AND RESTATED CREDIT AND SECURITY AGREEMENT (REVOLVING LOAN) (this “</w:t>
      </w:r>
      <w:r>
        <w:rPr>
          <w:rFonts w:ascii="Arial" w:cs="Arial" w:eastAsia="Arial" w:hAnsi="Arial"/>
          <w:sz w:val="20"/>
          <w:szCs w:val="20"/>
          <w:b w:val="1"/>
          <w:bCs w:val="1"/>
          <w:color w:val="auto"/>
        </w:rPr>
        <w:t>Agreement</w:t>
      </w:r>
      <w:r>
        <w:rPr>
          <w:rFonts w:ascii="Arial" w:cs="Arial" w:eastAsia="Arial" w:hAnsi="Arial"/>
          <w:sz w:val="20"/>
          <w:szCs w:val="20"/>
          <w:color w:val="auto"/>
        </w:rPr>
        <w:t>”) is made as of this 10th day of May, 2022 (“</w:t>
      </w:r>
      <w:r>
        <w:rPr>
          <w:rFonts w:ascii="Arial" w:cs="Arial" w:eastAsia="Arial" w:hAnsi="Arial"/>
          <w:sz w:val="20"/>
          <w:szCs w:val="20"/>
          <w:b w:val="1"/>
          <w:bCs w:val="1"/>
          <w:color w:val="auto"/>
        </w:rPr>
        <w:t>Effective Date</w:t>
      </w:r>
      <w:r>
        <w:rPr>
          <w:rFonts w:ascii="Arial" w:cs="Arial" w:eastAsia="Arial" w:hAnsi="Arial"/>
          <w:sz w:val="20"/>
          <w:szCs w:val="20"/>
          <w:color w:val="auto"/>
        </w:rPr>
        <w:t xml:space="preserve">”), by and among </w:t>
      </w:r>
      <w:r>
        <w:rPr>
          <w:rFonts w:ascii="Arial" w:cs="Arial" w:eastAsia="Arial" w:hAnsi="Arial"/>
          <w:sz w:val="20"/>
          <w:szCs w:val="20"/>
          <w:b w:val="1"/>
          <w:bCs w:val="1"/>
          <w:color w:val="auto"/>
        </w:rPr>
        <w:t>SIGHT SCIENCES, INC.</w:t>
      </w:r>
      <w:r>
        <w:rPr>
          <w:rFonts w:ascii="Arial" w:cs="Arial" w:eastAsia="Arial" w:hAnsi="Arial"/>
          <w:sz w:val="20"/>
          <w:szCs w:val="20"/>
          <w:color w:val="auto"/>
        </w:rPr>
        <w:t>, a Delaware corporation (“</w:t>
      </w:r>
      <w:r>
        <w:rPr>
          <w:rFonts w:ascii="Arial" w:cs="Arial" w:eastAsia="Arial" w:hAnsi="Arial"/>
          <w:sz w:val="20"/>
          <w:szCs w:val="20"/>
          <w:b w:val="1"/>
          <w:bCs w:val="1"/>
          <w:color w:val="auto"/>
        </w:rPr>
        <w:t>Borrower</w:t>
      </w:r>
      <w:r>
        <w:rPr>
          <w:rFonts w:ascii="Arial" w:cs="Arial" w:eastAsia="Arial" w:hAnsi="Arial"/>
          <w:sz w:val="20"/>
          <w:szCs w:val="20"/>
          <w:color w:val="auto"/>
        </w:rPr>
        <w:t xml:space="preserve">”), </w:t>
      </w:r>
      <w:r>
        <w:rPr>
          <w:rFonts w:ascii="Arial" w:cs="Arial" w:eastAsia="Arial" w:hAnsi="Arial"/>
          <w:sz w:val="20"/>
          <w:szCs w:val="20"/>
          <w:b w:val="1"/>
          <w:bCs w:val="1"/>
          <w:color w:val="auto"/>
        </w:rPr>
        <w:t>MIDCAP FUNDING IV TRUST</w:t>
      </w:r>
      <w:r>
        <w:rPr>
          <w:rFonts w:ascii="Arial" w:cs="Arial" w:eastAsia="Arial" w:hAnsi="Arial"/>
          <w:sz w:val="20"/>
          <w:szCs w:val="20"/>
          <w:color w:val="auto"/>
        </w:rPr>
        <w:t>, as Agent for Lenders (in such capacity and together with its permitted successors and assigns, the “</w:t>
      </w:r>
      <w:r>
        <w:rPr>
          <w:rFonts w:ascii="Arial" w:cs="Arial" w:eastAsia="Arial" w:hAnsi="Arial"/>
          <w:sz w:val="20"/>
          <w:szCs w:val="20"/>
          <w:b w:val="1"/>
          <w:bCs w:val="1"/>
          <w:color w:val="auto"/>
        </w:rPr>
        <w:t>Agent</w:t>
      </w:r>
      <w:r>
        <w:rPr>
          <w:rFonts w:ascii="Arial" w:cs="Arial" w:eastAsia="Arial" w:hAnsi="Arial"/>
          <w:sz w:val="20"/>
          <w:szCs w:val="20"/>
          <w:color w:val="auto"/>
        </w:rPr>
        <w:t>”) and the other financial institutions or other entities from time to time parties to the Credit Agreement referenced below, each as a Lender.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jc w:val="both"/>
        <w:ind w:firstLine="757"/>
        <w:spacing w:after="0" w:line="254" w:lineRule="auto"/>
        <w:tabs>
          <w:tab w:leader="none" w:pos="1613" w:val="left"/>
        </w:tabs>
        <w:numPr>
          <w:ilvl w:val="0"/>
          <w:numId w:val="7"/>
        </w:numPr>
        <w:rPr>
          <w:rFonts w:ascii="Arial" w:cs="Arial" w:eastAsia="Arial" w:hAnsi="Arial"/>
          <w:sz w:val="19"/>
          <w:szCs w:val="19"/>
          <w:color w:val="auto"/>
        </w:rPr>
      </w:pPr>
      <w:r>
        <w:rPr>
          <w:rFonts w:ascii="Arial" w:cs="Arial" w:eastAsia="Arial" w:hAnsi="Arial"/>
          <w:sz w:val="19"/>
          <w:szCs w:val="19"/>
          <w:color w:val="auto"/>
        </w:rPr>
        <w:t>Agent, Lenders and Borrower have entered into that certain Amended and Restated Credit and Security Agreement (Revolving Loan), dated as of November 23, 2020 (as amended by that certain First Amendment to Amended and Restated Credit and Security Agreement (Revolving Loan), dated as of October 5, 2021 and that certain Second Amendment to Amended and Restated Credit and Security Agreement (Revolving Loan), dated as of November 15, 2021, and as further amended, restated, amended and restated, supplemented and/or otherwise modified prior to the date hereof, the “</w:t>
      </w:r>
      <w:r>
        <w:rPr>
          <w:rFonts w:ascii="Arial" w:cs="Arial" w:eastAsia="Arial" w:hAnsi="Arial"/>
          <w:sz w:val="19"/>
          <w:szCs w:val="19"/>
          <w:b w:val="1"/>
          <w:bCs w:val="1"/>
          <w:color w:val="auto"/>
        </w:rPr>
        <w:t>Existing Credit Agreement</w:t>
      </w:r>
      <w:r>
        <w:rPr>
          <w:rFonts w:ascii="Arial" w:cs="Arial" w:eastAsia="Arial" w:hAnsi="Arial"/>
          <w:sz w:val="19"/>
          <w:szCs w:val="19"/>
          <w:color w:val="auto"/>
        </w:rPr>
        <w:t>” and as the same is amended hereby and as it may be further amended, restated, amended and restated, supplemented and/or otherwise modified from time to time, the “</w:t>
      </w:r>
      <w:r>
        <w:rPr>
          <w:rFonts w:ascii="Arial" w:cs="Arial" w:eastAsia="Arial" w:hAnsi="Arial"/>
          <w:sz w:val="19"/>
          <w:szCs w:val="19"/>
          <w:b w:val="1"/>
          <w:bCs w:val="1"/>
          <w:color w:val="auto"/>
        </w:rPr>
        <w:t>Credit</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pursuant to which the Lenders have agreed to make certain advances of money and to extend certain financial</w:t>
      </w:r>
      <w:r>
        <w:rPr>
          <w:rFonts w:ascii="Arial" w:cs="Arial" w:eastAsia="Arial" w:hAnsi="Arial"/>
          <w:sz w:val="19"/>
          <w:szCs w:val="19"/>
          <w:b w:val="1"/>
          <w:bCs w:val="1"/>
          <w:color w:val="auto"/>
        </w:rPr>
        <w:t xml:space="preserve"> </w:t>
      </w:r>
      <w:r>
        <w:rPr>
          <w:rFonts w:ascii="Arial" w:cs="Arial" w:eastAsia="Arial" w:hAnsi="Arial"/>
          <w:sz w:val="19"/>
          <w:szCs w:val="19"/>
          <w:color w:val="auto"/>
        </w:rPr>
        <w:t>accommodations to Borrower in the amounts and manner set forth in the Credit Agreement.</w:t>
      </w:r>
    </w:p>
    <w:p>
      <w:pPr>
        <w:spacing w:after="0" w:line="391" w:lineRule="exact"/>
        <w:rPr>
          <w:rFonts w:ascii="Arial" w:cs="Arial" w:eastAsia="Arial" w:hAnsi="Arial"/>
          <w:sz w:val="19"/>
          <w:szCs w:val="19"/>
          <w:color w:val="auto"/>
        </w:rPr>
      </w:pPr>
    </w:p>
    <w:p>
      <w:pPr>
        <w:jc w:val="both"/>
        <w:ind w:firstLine="757"/>
        <w:spacing w:after="0" w:line="243" w:lineRule="auto"/>
        <w:tabs>
          <w:tab w:leader="none" w:pos="1613" w:val="left"/>
        </w:tabs>
        <w:numPr>
          <w:ilvl w:val="0"/>
          <w:numId w:val="7"/>
        </w:numPr>
        <w:rPr>
          <w:rFonts w:ascii="Arial" w:cs="Arial" w:eastAsia="Arial" w:hAnsi="Arial"/>
          <w:sz w:val="20"/>
          <w:szCs w:val="20"/>
          <w:color w:val="auto"/>
        </w:rPr>
      </w:pPr>
      <w:r>
        <w:rPr>
          <w:rFonts w:ascii="Arial" w:cs="Arial" w:eastAsia="Arial" w:hAnsi="Arial"/>
          <w:sz w:val="20"/>
          <w:szCs w:val="20"/>
          <w:color w:val="auto"/>
        </w:rPr>
        <w:t>Borrower has requested, and Agent and the Lenders constituting at least the Required Lenders have agreed, on and subject to the terms and conditions set forth in this Agreement to, among other things, amend certain terms with respect to the Lockbox Account, as more fully set forth in and subject to the terms and conditions herein.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0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NOW, THEREFORE, in consideration of the foregoing, the terms and conditions set forth in this Agreement, and other good and valuable consideration, the receipt and sufficiency of which are hereby acknowledged, Agent, Required Lenders, and Borrower hereby agree as follows:</w:t>
      </w:r>
    </w:p>
    <w:p>
      <w:pPr>
        <w:spacing w:after="0" w:line="180" w:lineRule="exact"/>
        <w:rPr>
          <w:sz w:val="20"/>
          <w:szCs w:val="20"/>
          <w:color w:val="auto"/>
        </w:rPr>
      </w:pPr>
    </w:p>
    <w:p>
      <w:pPr>
        <w:jc w:val="both"/>
        <w:ind w:firstLine="757"/>
        <w:spacing w:after="0" w:line="242" w:lineRule="auto"/>
        <w:tabs>
          <w:tab w:leader="none" w:pos="1498" w:val="left"/>
        </w:tabs>
        <w:numPr>
          <w:ilvl w:val="0"/>
          <w:numId w:val="8"/>
        </w:numPr>
        <w:rPr>
          <w:rFonts w:ascii="Arial" w:cs="Arial" w:eastAsia="Arial" w:hAnsi="Arial"/>
          <w:sz w:val="20"/>
          <w:szCs w:val="20"/>
          <w:color w:val="010000"/>
        </w:rPr>
      </w:pPr>
      <w:r>
        <w:rPr>
          <w:rFonts w:ascii="Arial" w:cs="Arial" w:eastAsia="Arial" w:hAnsi="Arial"/>
          <w:sz w:val="20"/>
          <w:szCs w:val="20"/>
          <w:b w:val="1"/>
          <w:bCs w:val="1"/>
          <w:u w:val="single" w:color="auto"/>
          <w:color w:val="auto"/>
        </w:rPr>
        <w:t>Recitals; Construction</w:t>
      </w:r>
      <w:r>
        <w:rPr>
          <w:rFonts w:ascii="Arial" w:cs="Arial" w:eastAsia="Arial" w:hAnsi="Arial"/>
          <w:sz w:val="20"/>
          <w:szCs w:val="20"/>
          <w:color w:val="auto"/>
        </w:rPr>
        <w:t>. This Agreement shall constitute a Financing Document and the Recitals and each reference to</w:t>
      </w:r>
      <w:r>
        <w:rPr>
          <w:rFonts w:ascii="Arial" w:cs="Arial" w:eastAsia="Arial" w:hAnsi="Arial"/>
          <w:sz w:val="20"/>
          <w:szCs w:val="20"/>
          <w:b w:val="1"/>
          <w:bCs w:val="1"/>
          <w:color w:val="auto"/>
        </w:rPr>
        <w:t xml:space="preserve"> </w:t>
      </w:r>
      <w:r>
        <w:rPr>
          <w:rFonts w:ascii="Arial" w:cs="Arial" w:eastAsia="Arial" w:hAnsi="Arial"/>
          <w:sz w:val="20"/>
          <w:szCs w:val="20"/>
          <w:color w:val="auto"/>
        </w:rPr>
        <w:t>the Credit Agreement, unless otherwise expressly noted, will be deemed to reference the Credit Agreement as modified hereby. The Recitals set forth above shall be construed as part of this Agreement as if set forth fully in the body of this Agreement. Capitalized terms used but not otherwise defined herein shall have the meanings ascribed to them in the Credit Agreement (including those capitalized terms used in the Recitals hereto).</w:t>
      </w:r>
    </w:p>
    <w:p>
      <w:pPr>
        <w:spacing w:after="0" w:line="190" w:lineRule="exact"/>
        <w:rPr>
          <w:rFonts w:ascii="Arial" w:cs="Arial" w:eastAsia="Arial" w:hAnsi="Arial"/>
          <w:sz w:val="20"/>
          <w:szCs w:val="20"/>
          <w:color w:val="010000"/>
        </w:rPr>
      </w:pPr>
    </w:p>
    <w:p>
      <w:pPr>
        <w:jc w:val="both"/>
        <w:ind w:firstLine="757"/>
        <w:spacing w:after="0" w:line="253" w:lineRule="auto"/>
        <w:tabs>
          <w:tab w:leader="none" w:pos="1498" w:val="left"/>
        </w:tabs>
        <w:numPr>
          <w:ilvl w:val="0"/>
          <w:numId w:val="8"/>
        </w:numPr>
        <w:rPr>
          <w:rFonts w:ascii="Arial" w:cs="Arial" w:eastAsia="Arial" w:hAnsi="Arial"/>
          <w:sz w:val="20"/>
          <w:szCs w:val="20"/>
          <w:color w:val="010000"/>
        </w:rPr>
      </w:pPr>
      <w:r>
        <w:rPr>
          <w:rFonts w:ascii="Arial" w:cs="Arial" w:eastAsia="Arial" w:hAnsi="Arial"/>
          <w:sz w:val="20"/>
          <w:szCs w:val="20"/>
          <w:b w:val="1"/>
          <w:bCs w:val="1"/>
          <w:u w:val="single" w:color="auto"/>
          <w:color w:val="auto"/>
        </w:rPr>
        <w:t>Amendments to Credit Agreement</w:t>
      </w:r>
      <w:r>
        <w:rPr>
          <w:rFonts w:ascii="Arial" w:cs="Arial" w:eastAsia="Arial" w:hAnsi="Arial"/>
          <w:sz w:val="20"/>
          <w:szCs w:val="20"/>
          <w:color w:val="auto"/>
        </w:rPr>
        <w:t>. Subject to the terms and conditions in this Agreement, including, without limitation,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conditions to effectiveness set forth in Section 4 below, effective as of the Effective Date, the Existing Credit Agreement is hereby amended as follows:</w:t>
      </w:r>
    </w:p>
    <w:p>
      <w:pPr>
        <w:spacing w:after="0" w:line="177" w:lineRule="exact"/>
        <w:rPr>
          <w:sz w:val="20"/>
          <w:szCs w:val="20"/>
          <w:color w:val="auto"/>
        </w:rPr>
      </w:pPr>
    </w:p>
    <w:p>
      <w:pPr>
        <w:ind w:firstLine="1497"/>
        <w:spacing w:after="0" w:line="252" w:lineRule="auto"/>
        <w:rPr>
          <w:sz w:val="20"/>
          <w:szCs w:val="20"/>
          <w:color w:val="auto"/>
        </w:rPr>
      </w:pPr>
      <w:r>
        <w:rPr>
          <w:rFonts w:ascii="Arial" w:cs="Arial" w:eastAsia="Arial" w:hAnsi="Arial"/>
          <w:sz w:val="20"/>
          <w:szCs w:val="20"/>
          <w:color w:val="010000"/>
        </w:rPr>
        <w:t xml:space="preserve">(a) </w:t>
      </w:r>
      <w:r>
        <w:rPr>
          <w:rFonts w:ascii="Arial" w:cs="Arial" w:eastAsia="Arial" w:hAnsi="Arial"/>
          <w:sz w:val="20"/>
          <w:szCs w:val="20"/>
          <w:color w:val="000000"/>
        </w:rPr>
        <w:t>The definition of “</w:t>
      </w:r>
      <w:r>
        <w:rPr>
          <w:rFonts w:ascii="Arial" w:cs="Arial" w:eastAsia="Arial" w:hAnsi="Arial"/>
          <w:sz w:val="20"/>
          <w:szCs w:val="20"/>
          <w:b w:val="1"/>
          <w:bCs w:val="1"/>
          <w:color w:val="000000"/>
        </w:rPr>
        <w:t>Deposit Account Control Agreement</w:t>
      </w:r>
      <w:r>
        <w:rPr>
          <w:rFonts w:ascii="Arial" w:cs="Arial" w:eastAsia="Arial" w:hAnsi="Arial"/>
          <w:sz w:val="20"/>
          <w:szCs w:val="20"/>
          <w:color w:val="000000"/>
        </w:rPr>
        <w:t>” appearing in Article 1 of the Existing Credit</w:t>
      </w:r>
      <w:r>
        <w:rPr>
          <w:rFonts w:ascii="Arial" w:cs="Arial" w:eastAsia="Arial" w:hAnsi="Arial"/>
          <w:sz w:val="20"/>
          <w:szCs w:val="20"/>
          <w:color w:val="010000"/>
        </w:rPr>
        <w:t xml:space="preserve"> </w:t>
      </w:r>
      <w:r>
        <w:rPr>
          <w:rFonts w:ascii="Arial" w:cs="Arial" w:eastAsia="Arial" w:hAnsi="Arial"/>
          <w:sz w:val="20"/>
          <w:szCs w:val="20"/>
          <w:color w:val="000000"/>
        </w:rPr>
        <w:t>Agreement is hereby amended and restated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3" w:right="339" w:bottom="1440" w:gutter="0" w:footer="0" w:header="0"/>
        </w:sectPr>
      </w:pPr>
    </w:p>
    <w:bookmarkStart w:id="38" w:name="page39"/>
    <w:bookmarkEnd w:id="38"/>
    <w:p>
      <w:pPr>
        <w:jc w:val="both"/>
        <w:ind w:left="1500" w:firstLine="749"/>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Deposit Account Control Agreement</w:t>
      </w:r>
      <w:r>
        <w:rPr>
          <w:rFonts w:ascii="Arial" w:cs="Arial" w:eastAsia="Arial" w:hAnsi="Arial"/>
          <w:sz w:val="19"/>
          <w:szCs w:val="19"/>
          <w:color w:val="auto"/>
        </w:rPr>
        <w:t>” means an agreement, in form and substance reasonably satisfactory to Agent, among Agent, any Borrower and each financial institution in which such Borrower maintains a Deposit Account, which agreement contains such terms and conditions as Agent may reasonably require, including as to any such agreement pertaining to any Lockbox Account on and following the Lockbox Activation Date, providing that such financial institution shall wire, or otherwise transfer, in immediately available funds, on a daily basis to the Payment Account all funds received or deposited into such Lockbox or Lockbox Account.</w:t>
      </w:r>
    </w:p>
    <w:p>
      <w:pPr>
        <w:spacing w:after="0" w:line="159" w:lineRule="exact"/>
        <w:rPr>
          <w:sz w:val="20"/>
          <w:szCs w:val="20"/>
          <w:color w:val="auto"/>
        </w:rPr>
      </w:pPr>
    </w:p>
    <w:p>
      <w:pPr>
        <w:ind w:firstLine="1505"/>
        <w:spacing w:after="0" w:line="267" w:lineRule="auto"/>
        <w:tabs>
          <w:tab w:leader="none" w:pos="2995" w:val="left"/>
        </w:tabs>
        <w:numPr>
          <w:ilvl w:val="0"/>
          <w:numId w:val="9"/>
        </w:numPr>
        <w:rPr>
          <w:rFonts w:ascii="Arial" w:cs="Arial" w:eastAsia="Arial" w:hAnsi="Arial"/>
          <w:sz w:val="20"/>
          <w:szCs w:val="20"/>
          <w:color w:val="010000"/>
        </w:rPr>
      </w:pPr>
      <w:r>
        <w:rPr>
          <w:rFonts w:ascii="Arial" w:cs="Arial" w:eastAsia="Arial" w:hAnsi="Arial"/>
          <w:sz w:val="20"/>
          <w:szCs w:val="20"/>
          <w:color w:val="auto"/>
        </w:rPr>
        <w:t>Article 1 of the Existing Credit Agreement is hereby amended by adding the defined term “</w:t>
      </w:r>
      <w:r>
        <w:rPr>
          <w:rFonts w:ascii="Arial" w:cs="Arial" w:eastAsia="Arial" w:hAnsi="Arial"/>
          <w:sz w:val="20"/>
          <w:szCs w:val="20"/>
          <w:b w:val="1"/>
          <w:bCs w:val="1"/>
          <w:color w:val="auto"/>
        </w:rPr>
        <w:t>Lockbox</w:t>
      </w:r>
      <w:r>
        <w:rPr>
          <w:rFonts w:ascii="Arial" w:cs="Arial" w:eastAsia="Arial" w:hAnsi="Arial"/>
          <w:sz w:val="20"/>
          <w:szCs w:val="20"/>
          <w:color w:val="auto"/>
        </w:rPr>
        <w:t xml:space="preserve"> </w:t>
      </w:r>
      <w:r>
        <w:rPr>
          <w:rFonts w:ascii="Arial" w:cs="Arial" w:eastAsia="Arial" w:hAnsi="Arial"/>
          <w:sz w:val="20"/>
          <w:szCs w:val="20"/>
          <w:b w:val="1"/>
          <w:bCs w:val="1"/>
          <w:color w:val="auto"/>
        </w:rPr>
        <w:t>Activation Date</w:t>
      </w:r>
      <w:r>
        <w:rPr>
          <w:rFonts w:ascii="Arial" w:cs="Arial" w:eastAsia="Arial" w:hAnsi="Arial"/>
          <w:sz w:val="20"/>
          <w:szCs w:val="20"/>
          <w:color w:val="auto"/>
        </w:rPr>
        <w:t>” in the appropriate alphabetical order therein:</w:t>
      </w:r>
    </w:p>
    <w:p>
      <w:pPr>
        <w:spacing w:after="0" w:line="163" w:lineRule="exact"/>
        <w:rPr>
          <w:sz w:val="20"/>
          <w:szCs w:val="20"/>
          <w:color w:val="auto"/>
        </w:rPr>
      </w:pPr>
    </w:p>
    <w:p>
      <w:pPr>
        <w:ind w:left="1500" w:right="780"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Lockbox Activation Date</w:t>
      </w:r>
      <w:r>
        <w:rPr>
          <w:rFonts w:ascii="Arial" w:cs="Arial" w:eastAsia="Arial" w:hAnsi="Arial"/>
          <w:sz w:val="20"/>
          <w:szCs w:val="20"/>
          <w:color w:val="auto"/>
        </w:rPr>
        <w:t>” means the date that is five (5) Business Days prior to the date of the initial borrowing of the Revolving Loans hereunder.</w:t>
      </w:r>
    </w:p>
    <w:p>
      <w:pPr>
        <w:spacing w:after="0" w:line="156"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20"/>
          <w:szCs w:val="20"/>
          <w:color w:val="010000"/>
        </w:rPr>
        <w:t>(c)</w:t>
      </w:r>
      <w:r>
        <w:rPr>
          <w:sz w:val="20"/>
          <w:szCs w:val="20"/>
          <w:color w:val="auto"/>
        </w:rPr>
        <w:tab/>
      </w:r>
      <w:r>
        <w:rPr>
          <w:rFonts w:ascii="Arial" w:cs="Arial" w:eastAsia="Arial" w:hAnsi="Arial"/>
          <w:sz w:val="20"/>
          <w:szCs w:val="20"/>
          <w:color w:val="auto"/>
        </w:rPr>
        <w:t>Section 2.11(a) of the Existing Credit Agreement is amended and restated as follows:</w:t>
      </w:r>
    </w:p>
    <w:p>
      <w:pPr>
        <w:spacing w:after="0" w:line="210" w:lineRule="exact"/>
        <w:rPr>
          <w:sz w:val="20"/>
          <w:szCs w:val="20"/>
          <w:color w:val="auto"/>
        </w:rPr>
      </w:pPr>
    </w:p>
    <w:p>
      <w:pPr>
        <w:jc w:val="both"/>
        <w:ind w:left="1500" w:firstLine="749"/>
        <w:spacing w:after="0" w:line="268" w:lineRule="auto"/>
        <w:rPr>
          <w:sz w:val="20"/>
          <w:szCs w:val="20"/>
          <w:color w:val="auto"/>
        </w:rPr>
      </w:pPr>
      <w:r>
        <w:rPr>
          <w:rFonts w:ascii="Arial" w:cs="Arial" w:eastAsia="Arial" w:hAnsi="Arial"/>
          <w:sz w:val="18"/>
          <w:szCs w:val="18"/>
          <w:color w:val="auto"/>
        </w:rPr>
        <w:t>“Borrowers shall maintain a lockbox (the “</w:t>
      </w:r>
      <w:r>
        <w:rPr>
          <w:rFonts w:ascii="Arial" w:cs="Arial" w:eastAsia="Arial" w:hAnsi="Arial"/>
          <w:sz w:val="18"/>
          <w:szCs w:val="18"/>
          <w:b w:val="1"/>
          <w:bCs w:val="1"/>
          <w:color w:val="auto"/>
        </w:rPr>
        <w:t>Lockbox</w:t>
      </w:r>
      <w:r>
        <w:rPr>
          <w:rFonts w:ascii="Arial" w:cs="Arial" w:eastAsia="Arial" w:hAnsi="Arial"/>
          <w:sz w:val="18"/>
          <w:szCs w:val="18"/>
          <w:color w:val="auto"/>
        </w:rPr>
        <w:t>”) with a United States depository institution reasonably acceptable to Agent (the “</w:t>
      </w:r>
      <w:r>
        <w:rPr>
          <w:rFonts w:ascii="Arial" w:cs="Arial" w:eastAsia="Arial" w:hAnsi="Arial"/>
          <w:sz w:val="18"/>
          <w:szCs w:val="18"/>
          <w:b w:val="1"/>
          <w:bCs w:val="1"/>
          <w:color w:val="auto"/>
        </w:rPr>
        <w:t>Lockbox Bank</w:t>
      </w:r>
      <w:r>
        <w:rPr>
          <w:rFonts w:ascii="Arial" w:cs="Arial" w:eastAsia="Arial" w:hAnsi="Arial"/>
          <w:sz w:val="18"/>
          <w:szCs w:val="18"/>
          <w:color w:val="auto"/>
        </w:rPr>
        <w:t xml:space="preserve">”), subject to the provisions of this Agreement, and shall execute with the Lockbox Bank a Deposit Account Control Agreement and such other agreements related to such Lockbox as Agent may require to implement the provisions of this Section 2.11. At all times following the initial borrowing of the Revolving Loans, Borrowers shall ensure that all collections of Accounts are paid directly from Account Debtors (i) into the Lockbox for deposit into the Lockbox Account and/or (ii) directly into the Lockbox Account; </w:t>
      </w:r>
      <w:r>
        <w:rPr>
          <w:rFonts w:ascii="Arial" w:cs="Arial" w:eastAsia="Arial" w:hAnsi="Arial"/>
          <w:sz w:val="18"/>
          <w:szCs w:val="18"/>
          <w:i w:val="1"/>
          <w:iCs w:val="1"/>
          <w:color w:val="auto"/>
        </w:rPr>
        <w:t>provided, however</w:t>
      </w:r>
      <w:r>
        <w:rPr>
          <w:rFonts w:ascii="Arial" w:cs="Arial" w:eastAsia="Arial" w:hAnsi="Arial"/>
          <w:sz w:val="18"/>
          <w:szCs w:val="18"/>
          <w:color w:val="auto"/>
        </w:rPr>
        <w:t>, that unless Agent shall otherwise direct by written notice to Borrowers, Borrowers shall be permitted to cause Account Debtors who are individuals to pay Accounts directly to Borrowers, which Borrowers shall then administer and apply in the manner required below. All funds deposited into a Lockbox Account following the Lockbox Activation Date shall be transferred into the Payment Account (or, prior to the time of the initial borrowing of the Revolving Loans, such Deposit Account of Borrower as Agent may direct in its Permitted Discretion) by the close of each Business Day.”</w:t>
      </w:r>
    </w:p>
    <w:p>
      <w:pPr>
        <w:spacing w:after="0" w:line="177" w:lineRule="exact"/>
        <w:rPr>
          <w:sz w:val="20"/>
          <w:szCs w:val="20"/>
          <w:color w:val="auto"/>
        </w:rPr>
      </w:pPr>
    </w:p>
    <w:p>
      <w:pPr>
        <w:ind w:left="3000" w:hanging="1495"/>
        <w:spacing w:after="0"/>
        <w:tabs>
          <w:tab w:leader="none" w:pos="3000"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The first three sentences of Section 2.11(g) of the Existing Credit Agreement are hereby amended and</w:t>
      </w:r>
    </w:p>
    <w:p>
      <w:pPr>
        <w:spacing w:after="0" w:line="25"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restated as follows:</w:t>
      </w:r>
    </w:p>
    <w:p>
      <w:pPr>
        <w:spacing w:after="0" w:line="200" w:lineRule="exact"/>
        <w:rPr>
          <w:sz w:val="20"/>
          <w:szCs w:val="20"/>
          <w:color w:val="auto"/>
        </w:rPr>
      </w:pPr>
    </w:p>
    <w:p>
      <w:pPr>
        <w:jc w:val="both"/>
        <w:ind w:left="1500" w:firstLine="749"/>
        <w:spacing w:after="0" w:line="269" w:lineRule="auto"/>
        <w:rPr>
          <w:sz w:val="20"/>
          <w:szCs w:val="20"/>
          <w:color w:val="auto"/>
        </w:rPr>
      </w:pPr>
      <w:r>
        <w:rPr>
          <w:rFonts w:ascii="Arial" w:cs="Arial" w:eastAsia="Arial" w:hAnsi="Arial"/>
          <w:sz w:val="18"/>
          <w:szCs w:val="18"/>
          <w:color w:val="auto"/>
        </w:rPr>
        <w:t>“Borrowers shall not, and Borrowers shall not suffer or permit any Credit Party to at any time following the Lockbox Activation Date, (i) withdraw any amounts from any Lockbox Account, (ii) change the procedures or sweep instructions under the agreements governing any Lockbox Accounts, or (iii) send to or deposit in any Lockbox Account any funds other than payments made with respect to and proceeds of Accounts or proceeds of other Collateral comprising part of the Borrowing Base (including Inventory). From and following the Lockbox Activation Date, Borrowers shall, and shall cause each Credit Party to, cooperate with Agent in the identification and reconciliation on a daily basis of all amounts received in or required to be deposited into the Lockbox Accounts. If more than twenty percent (20%) of the collections of Accounts received by Borrowers during any given fifteen (15) day period following the Lockbox Activation Date is not identified or reconciled to the reasonable satisfaction of Agent within ten (10) Business Days of receipt, Agent shall not be obligated to make further advances under this Agreement until such amount is identified or is reconciled to the reasonable satisfaction of Agent,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9" w:name="page40"/>
    <w:bookmarkEnd w:id="39"/>
    <w:p>
      <w:pPr>
        <w:ind w:left="1500"/>
        <w:spacing w:after="0"/>
        <w:rPr>
          <w:sz w:val="20"/>
          <w:szCs w:val="20"/>
          <w:color w:val="auto"/>
        </w:rPr>
      </w:pPr>
      <w:r>
        <w:rPr>
          <w:rFonts w:ascii="Arial" w:cs="Arial" w:eastAsia="Arial" w:hAnsi="Arial"/>
          <w:sz w:val="18"/>
          <w:szCs w:val="18"/>
          <w:color w:val="010000"/>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Section 7.2 of the Existing Credit Agreement is hereby amended by:</w:t>
      </w:r>
    </w:p>
    <w:p>
      <w:pPr>
        <w:spacing w:after="0" w:line="200" w:lineRule="exact"/>
        <w:rPr>
          <w:sz w:val="20"/>
          <w:szCs w:val="20"/>
          <w:color w:val="auto"/>
        </w:rPr>
      </w:pPr>
    </w:p>
    <w:p>
      <w:pPr>
        <w:sectPr>
          <w:pgSz w:w="11900" w:h="16838" w:orient="portrait"/>
          <w:cols w:equalWidth="0" w:num="2">
            <w:col w:w="2280" w:space="720"/>
            <w:col w:w="8240"/>
          </w:cols>
          <w:pgMar w:left="320" w:top="325" w:right="339" w:bottom="1440" w:gutter="0" w:footer="0" w:header="0"/>
        </w:sectPr>
      </w:pPr>
    </w:p>
    <w:p>
      <w:pPr>
        <w:spacing w:after="0" w:line="39" w:lineRule="exact"/>
        <w:rPr>
          <w:sz w:val="20"/>
          <w:szCs w:val="20"/>
          <w:color w:val="auto"/>
        </w:rPr>
      </w:pPr>
    </w:p>
    <w:p>
      <w:pPr>
        <w:ind w:left="2260"/>
        <w:spacing w:after="0"/>
        <w:rPr>
          <w:sz w:val="20"/>
          <w:szCs w:val="20"/>
          <w:color w:val="auto"/>
        </w:rPr>
      </w:pPr>
      <w:r>
        <w:rPr>
          <w:rFonts w:ascii="Arial" w:cs="Arial" w:eastAsia="Arial" w:hAnsi="Arial"/>
          <w:sz w:val="20"/>
          <w:szCs w:val="20"/>
          <w:color w:val="010000"/>
        </w:rPr>
        <w:t>(i)</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deleting the “and” and the end of clause (d) thereof;</w:t>
      </w:r>
    </w:p>
    <w:p>
      <w:pPr>
        <w:spacing w:after="0" w:line="245" w:lineRule="exact"/>
        <w:rPr>
          <w:sz w:val="20"/>
          <w:szCs w:val="20"/>
          <w:color w:val="auto"/>
        </w:rPr>
      </w:pPr>
    </w:p>
    <w:p>
      <w:pPr>
        <w:sectPr>
          <w:pgSz w:w="11900" w:h="16838" w:orient="portrait"/>
          <w:cols w:equalWidth="0" w:num="2">
            <w:col w:w="3040" w:space="720"/>
            <w:col w:w="7480"/>
          </w:cols>
          <w:pgMar w:left="320" w:top="325" w:right="339" w:bottom="1440" w:gutter="0" w:footer="0" w:header="0"/>
          <w:type w:val="continuous"/>
        </w:sectPr>
      </w:pPr>
    </w:p>
    <w:p>
      <w:pPr>
        <w:spacing w:after="0" w:line="16" w:lineRule="exact"/>
        <w:rPr>
          <w:sz w:val="20"/>
          <w:szCs w:val="20"/>
          <w:color w:val="auto"/>
        </w:rPr>
      </w:pPr>
    </w:p>
    <w:p>
      <w:pPr>
        <w:ind w:left="3760" w:hanging="1506"/>
        <w:spacing w:after="0"/>
        <w:tabs>
          <w:tab w:leader="none" w:pos="3760" w:val="left"/>
        </w:tabs>
        <w:numPr>
          <w:ilvl w:val="0"/>
          <w:numId w:val="11"/>
        </w:numPr>
        <w:rPr>
          <w:rFonts w:ascii="Arial" w:cs="Arial" w:eastAsia="Arial" w:hAnsi="Arial"/>
          <w:sz w:val="20"/>
          <w:szCs w:val="20"/>
          <w:color w:val="010000"/>
        </w:rPr>
      </w:pPr>
      <w:r>
        <w:rPr>
          <w:rFonts w:ascii="Arial" w:cs="Arial" w:eastAsia="Arial" w:hAnsi="Arial"/>
          <w:sz w:val="20"/>
          <w:szCs w:val="20"/>
          <w:color w:val="auto"/>
        </w:rPr>
        <w:t>deleting the “.” at the end of clause (e) thereof and replacing it with “; and”; and</w:t>
      </w:r>
    </w:p>
    <w:p>
      <w:pPr>
        <w:spacing w:after="0" w:line="215" w:lineRule="exact"/>
        <w:rPr>
          <w:rFonts w:ascii="Arial" w:cs="Arial" w:eastAsia="Arial" w:hAnsi="Arial"/>
          <w:sz w:val="20"/>
          <w:szCs w:val="20"/>
          <w:color w:val="010000"/>
        </w:rPr>
      </w:pPr>
    </w:p>
    <w:p>
      <w:pPr>
        <w:ind w:left="3760" w:hanging="1506"/>
        <w:spacing w:after="0"/>
        <w:tabs>
          <w:tab w:leader="none" w:pos="3760" w:val="left"/>
        </w:tabs>
        <w:numPr>
          <w:ilvl w:val="0"/>
          <w:numId w:val="11"/>
        </w:numPr>
        <w:rPr>
          <w:rFonts w:ascii="Arial" w:cs="Arial" w:eastAsia="Arial" w:hAnsi="Arial"/>
          <w:sz w:val="20"/>
          <w:szCs w:val="20"/>
          <w:color w:val="010000"/>
        </w:rPr>
      </w:pPr>
      <w:r>
        <w:rPr>
          <w:rFonts w:ascii="Arial" w:cs="Arial" w:eastAsia="Arial" w:hAnsi="Arial"/>
          <w:sz w:val="20"/>
          <w:szCs w:val="20"/>
          <w:color w:val="auto"/>
        </w:rPr>
        <w:t>adding the following new clause (f) in appropriate alphabetical order therein:</w:t>
      </w:r>
    </w:p>
    <w:p>
      <w:pPr>
        <w:spacing w:after="0" w:line="211" w:lineRule="exact"/>
        <w:rPr>
          <w:sz w:val="20"/>
          <w:szCs w:val="20"/>
          <w:color w:val="auto"/>
        </w:rPr>
      </w:pPr>
    </w:p>
    <w:p>
      <w:pPr>
        <w:jc w:val="both"/>
        <w:ind w:left="1500" w:firstLine="749"/>
        <w:spacing w:after="0" w:line="241" w:lineRule="auto"/>
        <w:rPr>
          <w:sz w:val="20"/>
          <w:szCs w:val="20"/>
          <w:color w:val="auto"/>
        </w:rPr>
      </w:pPr>
      <w:r>
        <w:rPr>
          <w:rFonts w:ascii="Arial" w:cs="Arial" w:eastAsia="Arial" w:hAnsi="Arial"/>
          <w:sz w:val="22"/>
          <w:szCs w:val="22"/>
          <w:color w:val="auto"/>
        </w:rPr>
        <w:t xml:space="preserve">“(f) </w:t>
      </w:r>
      <w:r>
        <w:rPr>
          <w:rFonts w:ascii="Arial" w:cs="Arial" w:eastAsia="Arial" w:hAnsi="Arial"/>
          <w:sz w:val="19"/>
          <w:szCs w:val="19"/>
          <w:color w:val="auto"/>
        </w:rPr>
        <w:t>with respect to the initial borrowing of the Revolving Loans, Agent shall have received by the date that is</w:t>
      </w:r>
      <w:r>
        <w:rPr>
          <w:rFonts w:ascii="Arial" w:cs="Arial" w:eastAsia="Arial" w:hAnsi="Arial"/>
          <w:sz w:val="22"/>
          <w:szCs w:val="22"/>
          <w:color w:val="auto"/>
        </w:rPr>
        <w:t xml:space="preserve"> </w:t>
      </w:r>
      <w:r>
        <w:rPr>
          <w:rFonts w:ascii="Arial" w:cs="Arial" w:eastAsia="Arial" w:hAnsi="Arial"/>
          <w:sz w:val="19"/>
          <w:szCs w:val="19"/>
          <w:color w:val="auto"/>
        </w:rPr>
        <w:t>five (5) Business Days prior to such borrowing a Deposit Account Control Agreement with respect to each Lockbox Account in form and substance reasonably satisfactory to Agent.”</w:t>
      </w:r>
    </w:p>
    <w:p>
      <w:pPr>
        <w:spacing w:after="0" w:line="176" w:lineRule="exact"/>
        <w:rPr>
          <w:sz w:val="20"/>
          <w:szCs w:val="20"/>
          <w:color w:val="auto"/>
        </w:rPr>
      </w:pPr>
    </w:p>
    <w:p>
      <w:pPr>
        <w:jc w:val="both"/>
        <w:ind w:firstLine="757"/>
        <w:spacing w:after="0" w:line="253" w:lineRule="auto"/>
        <w:tabs>
          <w:tab w:leader="none" w:pos="1498" w:val="left"/>
        </w:tabs>
        <w:numPr>
          <w:ilvl w:val="0"/>
          <w:numId w:val="12"/>
        </w:numPr>
        <w:rPr>
          <w:rFonts w:ascii="Arial" w:cs="Arial" w:eastAsia="Arial" w:hAnsi="Arial"/>
          <w:sz w:val="19"/>
          <w:szCs w:val="19"/>
          <w:color w:val="010000"/>
        </w:rPr>
      </w:pPr>
      <w:r>
        <w:rPr>
          <w:rFonts w:ascii="Arial" w:cs="Arial" w:eastAsia="Arial" w:hAnsi="Arial"/>
          <w:sz w:val="19"/>
          <w:szCs w:val="19"/>
          <w:b w:val="1"/>
          <w:bCs w:val="1"/>
          <w:u w:val="single" w:color="auto"/>
          <w:color w:val="auto"/>
        </w:rPr>
        <w:t>Representations and Warranties; Reaffirmation of Security Interest</w:t>
      </w:r>
      <w:r>
        <w:rPr>
          <w:rFonts w:ascii="Arial" w:cs="Arial" w:eastAsia="Arial" w:hAnsi="Arial"/>
          <w:sz w:val="19"/>
          <w:szCs w:val="19"/>
          <w:color w:val="auto"/>
        </w:rPr>
        <w:t>. Borrower hereby confirms that all of the</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representations and warranties set forth in the Credit Agreement are true and correct in all material respects (without duplication of any materiality qualifier in the text of such representation or warranty) with respect to such Borrower as of the date hereof except to the extent that any such representation or warranty relates to a specific date in which case such representation or warranty shall be true and correct in all material respects (without duplication of any materiality qualifier in the text of such representation or warranty) as of such earlier date. Without limiting the foregoing, each Borrower represents and warrants that prior to and after giving effect to the agreements set forth herein, no Default or Event of Default shall exist under any of the Financing Documents. Nothing herein is intended to impair or limit the validity, priority or extent of Agent’s security interests in and Liens on the Collateral. Each Borrower acknowledges and agrees that each of this Agreement, the Credit Agreement and the other Financing Documents to which it is a party constitutes the valid and binding agreement or instrument of such Borrower, enforceable against such Borrower in accordance with its respective terms, except as the enforceability thereof may be limited by bankruptcy, insolvency or other similar laws relating to the enforcement of creditors’ rights generally and by general equitable principles.</w:t>
      </w:r>
    </w:p>
    <w:p>
      <w:pPr>
        <w:spacing w:after="0" w:line="179" w:lineRule="exact"/>
        <w:rPr>
          <w:rFonts w:ascii="Arial" w:cs="Arial" w:eastAsia="Arial" w:hAnsi="Arial"/>
          <w:sz w:val="19"/>
          <w:szCs w:val="19"/>
          <w:color w:val="010000"/>
        </w:rPr>
      </w:pPr>
    </w:p>
    <w:p>
      <w:pPr>
        <w:ind w:right="20" w:firstLine="757"/>
        <w:spacing w:after="0" w:line="267" w:lineRule="auto"/>
        <w:tabs>
          <w:tab w:leader="none" w:pos="1498" w:val="left"/>
        </w:tabs>
        <w:numPr>
          <w:ilvl w:val="0"/>
          <w:numId w:val="12"/>
        </w:numPr>
        <w:rPr>
          <w:rFonts w:ascii="Arial" w:cs="Arial" w:eastAsia="Arial" w:hAnsi="Arial"/>
          <w:sz w:val="20"/>
          <w:szCs w:val="20"/>
          <w:color w:val="010000"/>
        </w:rPr>
      </w:pPr>
      <w:r>
        <w:rPr>
          <w:rFonts w:ascii="Arial" w:cs="Arial" w:eastAsia="Arial" w:hAnsi="Arial"/>
          <w:sz w:val="20"/>
          <w:szCs w:val="20"/>
          <w:b w:val="1"/>
          <w:bCs w:val="1"/>
          <w:u w:val="single" w:color="auto"/>
          <w:color w:val="auto"/>
        </w:rPr>
        <w:t>Conditions to Effectiveness</w:t>
      </w:r>
      <w:r>
        <w:rPr>
          <w:rFonts w:ascii="Arial" w:cs="Arial" w:eastAsia="Arial" w:hAnsi="Arial"/>
          <w:sz w:val="20"/>
          <w:szCs w:val="20"/>
          <w:color w:val="auto"/>
        </w:rPr>
        <w:t>. This Agreement shall become effective as of the date on which each of the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have been satisfied, as determined by Agent in its sole discretion, or waived by Agent in its discretion:</w:t>
      </w:r>
    </w:p>
    <w:p>
      <w:pPr>
        <w:spacing w:after="0" w:line="169" w:lineRule="exact"/>
        <w:rPr>
          <w:sz w:val="20"/>
          <w:szCs w:val="20"/>
          <w:color w:val="auto"/>
        </w:rPr>
      </w:pPr>
    </w:p>
    <w:p>
      <w:pPr>
        <w:ind w:firstLine="1497"/>
        <w:spacing w:after="0" w:line="287" w:lineRule="auto"/>
        <w:rPr>
          <w:sz w:val="20"/>
          <w:szCs w:val="20"/>
          <w:color w:val="auto"/>
        </w:rPr>
      </w:pPr>
      <w:r>
        <w:rPr>
          <w:rFonts w:ascii="Arial" w:cs="Arial" w:eastAsia="Arial" w:hAnsi="Arial"/>
          <w:sz w:val="19"/>
          <w:szCs w:val="19"/>
          <w:color w:val="010000"/>
        </w:rPr>
        <w:t xml:space="preserve">(a) </w:t>
      </w:r>
      <w:r>
        <w:rPr>
          <w:rFonts w:ascii="Arial" w:cs="Arial" w:eastAsia="Arial" w:hAnsi="Arial"/>
          <w:sz w:val="19"/>
          <w:szCs w:val="19"/>
          <w:color w:val="000000"/>
        </w:rPr>
        <w:t>Agent shall have received (including by way electronic transmission) a duly authorized, executed and</w:t>
      </w:r>
      <w:r>
        <w:rPr>
          <w:rFonts w:ascii="Arial" w:cs="Arial" w:eastAsia="Arial" w:hAnsi="Arial"/>
          <w:sz w:val="19"/>
          <w:szCs w:val="19"/>
          <w:color w:val="010000"/>
        </w:rPr>
        <w:t xml:space="preserve"> </w:t>
      </w:r>
      <w:r>
        <w:rPr>
          <w:rFonts w:ascii="Arial" w:cs="Arial" w:eastAsia="Arial" w:hAnsi="Arial"/>
          <w:sz w:val="19"/>
          <w:szCs w:val="19"/>
          <w:color w:val="000000"/>
        </w:rPr>
        <w:t>delivered counterpart of the signature page to this Agreement from each Borrower, Agent and each Lender constituting Required Lenders;</w:t>
      </w:r>
    </w:p>
    <w:p>
      <w:pPr>
        <w:spacing w:after="0" w:line="152" w:lineRule="exact"/>
        <w:rPr>
          <w:sz w:val="20"/>
          <w:szCs w:val="20"/>
          <w:color w:val="auto"/>
        </w:rPr>
      </w:pPr>
    </w:p>
    <w:p>
      <w:pPr>
        <w:jc w:val="both"/>
        <w:ind w:firstLine="1505"/>
        <w:spacing w:after="0" w:line="262" w:lineRule="auto"/>
        <w:tabs>
          <w:tab w:leader="none" w:pos="2995" w:val="left"/>
        </w:tabs>
        <w:numPr>
          <w:ilvl w:val="0"/>
          <w:numId w:val="13"/>
        </w:numPr>
        <w:rPr>
          <w:rFonts w:ascii="Arial" w:cs="Arial" w:eastAsia="Arial" w:hAnsi="Arial"/>
          <w:sz w:val="19"/>
          <w:szCs w:val="19"/>
          <w:color w:val="010000"/>
        </w:rPr>
      </w:pPr>
      <w:r>
        <w:rPr>
          <w:rFonts w:ascii="Arial" w:cs="Arial" w:eastAsia="Arial" w:hAnsi="Arial"/>
          <w:sz w:val="19"/>
          <w:szCs w:val="19"/>
          <w:color w:val="auto"/>
        </w:rPr>
        <w:t>Agent shall have received a fully executed copy of an amendment to that certain Deposit Account Control Agreement, dated as of January 25, 2019 (the “</w:t>
      </w:r>
      <w:r>
        <w:rPr>
          <w:rFonts w:ascii="Arial" w:cs="Arial" w:eastAsia="Arial" w:hAnsi="Arial"/>
          <w:sz w:val="19"/>
          <w:szCs w:val="19"/>
          <w:b w:val="1"/>
          <w:bCs w:val="1"/>
          <w:color w:val="auto"/>
        </w:rPr>
        <w:t>Springing DACA</w:t>
      </w:r>
      <w:r>
        <w:rPr>
          <w:rFonts w:ascii="Arial" w:cs="Arial" w:eastAsia="Arial" w:hAnsi="Arial"/>
          <w:sz w:val="19"/>
          <w:szCs w:val="19"/>
          <w:color w:val="auto"/>
        </w:rPr>
        <w:t>”), by and among Borrower, Agent, Midcap Financial Trust, and Bank of America, N.A. pursuant to which the Lockbox Account is added as an “Account” under the Springing DACA;</w:t>
      </w:r>
    </w:p>
    <w:p>
      <w:pPr>
        <w:spacing w:after="0" w:line="175" w:lineRule="exact"/>
        <w:rPr>
          <w:sz w:val="20"/>
          <w:szCs w:val="20"/>
          <w:color w:val="auto"/>
        </w:rPr>
      </w:pPr>
    </w:p>
    <w:p>
      <w:pPr>
        <w:ind w:right="20" w:firstLine="1497"/>
        <w:spacing w:after="0" w:line="260" w:lineRule="auto"/>
        <w:rPr>
          <w:sz w:val="20"/>
          <w:szCs w:val="20"/>
          <w:color w:val="auto"/>
        </w:rPr>
      </w:pPr>
      <w:r>
        <w:rPr>
          <w:rFonts w:ascii="Arial" w:cs="Arial" w:eastAsia="Arial" w:hAnsi="Arial"/>
          <w:sz w:val="20"/>
          <w:szCs w:val="20"/>
          <w:color w:val="010000"/>
        </w:rPr>
        <w:t xml:space="preserve">(c) </w:t>
      </w:r>
      <w:r>
        <w:rPr>
          <w:rFonts w:ascii="Arial" w:cs="Arial" w:eastAsia="Arial" w:hAnsi="Arial"/>
          <w:sz w:val="20"/>
          <w:szCs w:val="20"/>
          <w:color w:val="000000"/>
        </w:rPr>
        <w:t>Agent shall have received a fully executed copy of a termination agreement with respect to that certain</w:t>
      </w:r>
      <w:r>
        <w:rPr>
          <w:rFonts w:ascii="Arial" w:cs="Arial" w:eastAsia="Arial" w:hAnsi="Arial"/>
          <w:sz w:val="20"/>
          <w:szCs w:val="20"/>
          <w:color w:val="010000"/>
        </w:rPr>
        <w:t xml:space="preserve"> </w:t>
      </w:r>
      <w:r>
        <w:rPr>
          <w:rFonts w:ascii="Arial" w:cs="Arial" w:eastAsia="Arial" w:hAnsi="Arial"/>
          <w:sz w:val="20"/>
          <w:szCs w:val="20"/>
          <w:color w:val="000000"/>
        </w:rPr>
        <w:t>Deposit Account Control Agreement, dated as of February 4, 2019, by and among Borrower, Agent and Bank of America, N.A.;</w:t>
      </w:r>
    </w:p>
    <w:p>
      <w:pPr>
        <w:spacing w:after="0" w:line="177" w:lineRule="exact"/>
        <w:rPr>
          <w:sz w:val="20"/>
          <w:szCs w:val="20"/>
          <w:color w:val="auto"/>
        </w:rPr>
      </w:pPr>
    </w:p>
    <w:p>
      <w:pPr>
        <w:jc w:val="both"/>
        <w:ind w:firstLine="1505"/>
        <w:spacing w:after="0" w:line="241" w:lineRule="auto"/>
        <w:tabs>
          <w:tab w:leader="none" w:pos="2995" w:val="left"/>
        </w:tabs>
        <w:numPr>
          <w:ilvl w:val="0"/>
          <w:numId w:val="14"/>
        </w:numPr>
        <w:rPr>
          <w:rFonts w:ascii="Arial" w:cs="Arial" w:eastAsia="Arial" w:hAnsi="Arial"/>
          <w:sz w:val="20"/>
          <w:szCs w:val="20"/>
          <w:color w:val="010000"/>
        </w:rPr>
      </w:pPr>
      <w:r>
        <w:rPr>
          <w:rFonts w:ascii="Arial" w:cs="Arial" w:eastAsia="Arial" w:hAnsi="Arial"/>
          <w:sz w:val="20"/>
          <w:szCs w:val="20"/>
          <w:color w:val="auto"/>
        </w:rPr>
        <w:t>all representations and warranties of Credit Parties contained herein shall be true and correct in all material respects (without duplication of any materiality qualifier in the text of such representation or warranty) as of the date hereof except to the extent that any such representation or warranty relates to a specific date in which case such representation or warranty shall be true and correct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type w:val="continuous"/>
        </w:sectPr>
      </w:pPr>
    </w:p>
    <w:bookmarkStart w:id="40" w:name="page41"/>
    <w:bookmarkEnd w:id="40"/>
    <w:p>
      <w:pPr>
        <w:ind w:right="20"/>
        <w:spacing w:after="0" w:line="260" w:lineRule="auto"/>
        <w:rPr>
          <w:sz w:val="20"/>
          <w:szCs w:val="20"/>
          <w:color w:val="auto"/>
        </w:rPr>
      </w:pPr>
      <w:r>
        <w:rPr>
          <w:rFonts w:ascii="Arial" w:cs="Arial" w:eastAsia="Arial" w:hAnsi="Arial"/>
          <w:sz w:val="20"/>
          <w:szCs w:val="20"/>
          <w:color w:val="auto"/>
        </w:rPr>
        <w:t>all material respects as of such earlier date (and such parties’ delivery of their respective signatures hereto shall be deemed to be its certification thereof); and</w:t>
      </w:r>
    </w:p>
    <w:p>
      <w:pPr>
        <w:spacing w:after="0" w:line="177" w:lineRule="exact"/>
        <w:rPr>
          <w:sz w:val="20"/>
          <w:szCs w:val="20"/>
          <w:color w:val="auto"/>
        </w:rPr>
      </w:pPr>
    </w:p>
    <w:p>
      <w:pPr>
        <w:ind w:right="20" w:firstLine="1497"/>
        <w:spacing w:after="0" w:line="260" w:lineRule="auto"/>
        <w:rPr>
          <w:sz w:val="20"/>
          <w:szCs w:val="20"/>
          <w:color w:val="auto"/>
        </w:rPr>
      </w:pPr>
      <w:r>
        <w:rPr>
          <w:rFonts w:ascii="Arial" w:cs="Arial" w:eastAsia="Arial" w:hAnsi="Arial"/>
          <w:sz w:val="20"/>
          <w:szCs w:val="20"/>
          <w:color w:val="010000"/>
        </w:rPr>
        <w:t xml:space="preserve">(e) </w:t>
      </w:r>
      <w:r>
        <w:rPr>
          <w:rFonts w:ascii="Arial" w:cs="Arial" w:eastAsia="Arial" w:hAnsi="Arial"/>
          <w:sz w:val="20"/>
          <w:szCs w:val="20"/>
          <w:color w:val="000000"/>
        </w:rPr>
        <w:t>immediately prior to and after giving effect to this Agreement, no Default or Event of Default exists</w:t>
      </w:r>
      <w:r>
        <w:rPr>
          <w:rFonts w:ascii="Arial" w:cs="Arial" w:eastAsia="Arial" w:hAnsi="Arial"/>
          <w:sz w:val="20"/>
          <w:szCs w:val="20"/>
          <w:color w:val="010000"/>
        </w:rPr>
        <w:t xml:space="preserve"> </w:t>
      </w:r>
      <w:r>
        <w:rPr>
          <w:rFonts w:ascii="Arial" w:cs="Arial" w:eastAsia="Arial" w:hAnsi="Arial"/>
          <w:sz w:val="20"/>
          <w:szCs w:val="20"/>
          <w:color w:val="000000"/>
        </w:rPr>
        <w:t>under any of the Financing Documents.</w:t>
      </w:r>
    </w:p>
    <w:p>
      <w:pPr>
        <w:spacing w:after="0" w:line="171" w:lineRule="exact"/>
        <w:rPr>
          <w:sz w:val="20"/>
          <w:szCs w:val="20"/>
          <w:color w:val="auto"/>
        </w:rPr>
      </w:pPr>
    </w:p>
    <w:p>
      <w:pPr>
        <w:jc w:val="both"/>
        <w:ind w:firstLine="757"/>
        <w:spacing w:after="0" w:line="242" w:lineRule="auto"/>
        <w:tabs>
          <w:tab w:leader="none" w:pos="1498" w:val="left"/>
        </w:tabs>
        <w:numPr>
          <w:ilvl w:val="0"/>
          <w:numId w:val="15"/>
        </w:numPr>
        <w:rPr>
          <w:rFonts w:ascii="Arial" w:cs="Arial" w:eastAsia="Arial" w:hAnsi="Arial"/>
          <w:sz w:val="20"/>
          <w:szCs w:val="20"/>
          <w:color w:val="010000"/>
        </w:rPr>
      </w:pPr>
      <w:r>
        <w:rPr>
          <w:rFonts w:ascii="Arial" w:cs="Arial" w:eastAsia="Arial" w:hAnsi="Arial"/>
          <w:sz w:val="20"/>
          <w:szCs w:val="20"/>
          <w:b w:val="1"/>
          <w:bCs w:val="1"/>
          <w:u w:val="single" w:color="auto"/>
          <w:color w:val="auto"/>
        </w:rPr>
        <w:t>Costs and Fees</w:t>
      </w:r>
      <w:r>
        <w:rPr>
          <w:rFonts w:ascii="Arial" w:cs="Arial" w:eastAsia="Arial" w:hAnsi="Arial"/>
          <w:sz w:val="20"/>
          <w:szCs w:val="20"/>
          <w:color w:val="auto"/>
        </w:rPr>
        <w:t>. Borrower agrees to promptly pay, or reimburse upon demand for, all reasonable and documented costs</w:t>
      </w:r>
      <w:r>
        <w:rPr>
          <w:rFonts w:ascii="Arial" w:cs="Arial" w:eastAsia="Arial" w:hAnsi="Arial"/>
          <w:sz w:val="20"/>
          <w:szCs w:val="20"/>
          <w:b w:val="1"/>
          <w:bCs w:val="1"/>
          <w:color w:val="auto"/>
        </w:rPr>
        <w:t xml:space="preserve"> </w:t>
      </w:r>
      <w:r>
        <w:rPr>
          <w:rFonts w:ascii="Arial" w:cs="Arial" w:eastAsia="Arial" w:hAnsi="Arial"/>
          <w:sz w:val="20"/>
          <w:szCs w:val="20"/>
          <w:color w:val="auto"/>
        </w:rPr>
        <w:t>and expenses of Agent (including, without limitation, the reasonable and documented fees, costs and expenses of counsel to Agent) in connection with the preparation, negotiation, execution and delivery of this Agreement and any other Financing Documents or other agreements prepared, negotiated, executed or delivered in connection with this Agreement or transactions contemplated hereby, in accordance with Section 12.14 of the Credit Agreement.</w:t>
      </w:r>
    </w:p>
    <w:p>
      <w:pPr>
        <w:spacing w:after="0" w:line="190" w:lineRule="exact"/>
        <w:rPr>
          <w:rFonts w:ascii="Arial" w:cs="Arial" w:eastAsia="Arial" w:hAnsi="Arial"/>
          <w:sz w:val="20"/>
          <w:szCs w:val="20"/>
          <w:color w:val="010000"/>
        </w:rPr>
      </w:pPr>
    </w:p>
    <w:p>
      <w:pPr>
        <w:jc w:val="both"/>
        <w:ind w:firstLine="757"/>
        <w:spacing w:after="0" w:line="266" w:lineRule="auto"/>
        <w:tabs>
          <w:tab w:leader="none" w:pos="1498" w:val="left"/>
        </w:tabs>
        <w:numPr>
          <w:ilvl w:val="0"/>
          <w:numId w:val="15"/>
        </w:numPr>
        <w:rPr>
          <w:rFonts w:ascii="Arial" w:cs="Arial" w:eastAsia="Arial" w:hAnsi="Arial"/>
          <w:sz w:val="18"/>
          <w:szCs w:val="18"/>
          <w:color w:val="010000"/>
        </w:rPr>
      </w:pPr>
      <w:r>
        <w:rPr>
          <w:rFonts w:ascii="Arial" w:cs="Arial" w:eastAsia="Arial" w:hAnsi="Arial"/>
          <w:sz w:val="18"/>
          <w:szCs w:val="18"/>
          <w:b w:val="1"/>
          <w:bCs w:val="1"/>
          <w:u w:val="single" w:color="auto"/>
          <w:color w:val="auto"/>
        </w:rPr>
        <w:t>Lender Release</w:t>
      </w:r>
      <w:r>
        <w:rPr>
          <w:rFonts w:ascii="Arial" w:cs="Arial" w:eastAsia="Arial" w:hAnsi="Arial"/>
          <w:sz w:val="18"/>
          <w:szCs w:val="18"/>
          <w:color w:val="auto"/>
        </w:rPr>
        <w:t>. In consideration of the agreements of Agent and Required Lenders contained herein and for other good</w:t>
      </w:r>
      <w:r>
        <w:rPr>
          <w:rFonts w:ascii="Arial" w:cs="Arial" w:eastAsia="Arial" w:hAnsi="Arial"/>
          <w:sz w:val="18"/>
          <w:szCs w:val="18"/>
          <w:b w:val="1"/>
          <w:bCs w:val="1"/>
          <w:color w:val="auto"/>
        </w:rPr>
        <w:t xml:space="preserve"> </w:t>
      </w:r>
      <w:r>
        <w:rPr>
          <w:rFonts w:ascii="Arial" w:cs="Arial" w:eastAsia="Arial" w:hAnsi="Arial"/>
          <w:sz w:val="18"/>
          <w:szCs w:val="18"/>
          <w:color w:val="auto"/>
        </w:rPr>
        <w:t>and valuable consideration, the receipt and sufficiency of which is hereby acknowledged, each Borrower, voluntarily, knowingly, unconditionally and irrevocably, with specific and express intent, for and on behalf of itself and all of its respective parents, subsidiaries, affiliates, members, managers, predecessors, successors, and assigns, and each of its respective current and former directors, officers, shareholders, agents, and employees, and each of its respective predecessors, successors, heirs, and assigns (individually and collectively, the “Releasing Parties”) does hereby fully and completely release, acquit and forever discharge each of Agent, Lenders, and each their respective parents, subsidiaries, affiliates, members, managers, shareholders, directors, officers and employees, and each of their respective predecessors, successors, heirs, and assigns (individually and collectively, the “Released Parties”), of and from any and all actions, causes of action, suits, debts, disputes, damages, claims, obligations, liabilities, costs, expenses and demands of any kind whatsoever, at law or in equity, whether matured or unmatured, liquidated or unliquidated, vested or contingent, choate or inchoate, known or unknown that the Releasing Parties (or any of them) has against the Released Parties or any of them (whether directly or indirectly), based in whole or in part on facts, whether or not now known, existing on or before the date hereof or arising out of this Agreement, that relate to, arise out of or otherwise are in connection with: (i) any or all of the Financing Documents or transactions contemplated thereby or any actions or omissions in connection therewith or (ii) any aspect of the dealings or relationships between or among such Borrower, on the one hand, and any or all of the Released Parties, on the other hand, relating to any or all of the documents, transactions, actions or omissions referenced in clause (i) hereof. Each Borrower acknowledges that the foregoing release is a material inducement to Agent’s and Required Lender’s decision to enter into this Agreement and agree to the modifications contemplated hereunder, and has been relied upon by Agent and Required Lenders in connection therewith.</w:t>
      </w:r>
    </w:p>
    <w:p>
      <w:pPr>
        <w:spacing w:after="0" w:line="177" w:lineRule="exact"/>
        <w:rPr>
          <w:rFonts w:ascii="Arial" w:cs="Arial" w:eastAsia="Arial" w:hAnsi="Arial"/>
          <w:sz w:val="18"/>
          <w:szCs w:val="18"/>
          <w:color w:val="010000"/>
        </w:rPr>
      </w:pPr>
    </w:p>
    <w:p>
      <w:pPr>
        <w:jc w:val="both"/>
        <w:ind w:firstLine="757"/>
        <w:spacing w:after="0" w:line="274" w:lineRule="auto"/>
        <w:tabs>
          <w:tab w:leader="none" w:pos="1498" w:val="left"/>
        </w:tabs>
        <w:numPr>
          <w:ilvl w:val="0"/>
          <w:numId w:val="15"/>
        </w:numPr>
        <w:rPr>
          <w:rFonts w:ascii="Arial" w:cs="Arial" w:eastAsia="Arial" w:hAnsi="Arial"/>
          <w:sz w:val="18"/>
          <w:szCs w:val="18"/>
          <w:color w:val="010000"/>
        </w:rPr>
      </w:pPr>
      <w:r>
        <w:rPr>
          <w:rFonts w:ascii="Arial" w:cs="Arial" w:eastAsia="Arial" w:hAnsi="Arial"/>
          <w:sz w:val="18"/>
          <w:szCs w:val="18"/>
          <w:b w:val="1"/>
          <w:bCs w:val="1"/>
          <w:u w:val="single" w:color="auto"/>
          <w:color w:val="auto"/>
        </w:rPr>
        <w:t>No Waiver or Novation</w:t>
      </w:r>
      <w:r>
        <w:rPr>
          <w:rFonts w:ascii="Arial" w:cs="Arial" w:eastAsia="Arial" w:hAnsi="Arial"/>
          <w:sz w:val="18"/>
          <w:szCs w:val="18"/>
          <w:color w:val="auto"/>
        </w:rPr>
        <w:t>. The execution, delivery and effectiveness of this Agreement shall not operate as a waiver of any</w:t>
      </w:r>
      <w:r>
        <w:rPr>
          <w:rFonts w:ascii="Arial" w:cs="Arial" w:eastAsia="Arial" w:hAnsi="Arial"/>
          <w:sz w:val="18"/>
          <w:szCs w:val="18"/>
          <w:b w:val="1"/>
          <w:bCs w:val="1"/>
          <w:color w:val="auto"/>
        </w:rPr>
        <w:t xml:space="preserve"> </w:t>
      </w:r>
      <w:r>
        <w:rPr>
          <w:rFonts w:ascii="Arial" w:cs="Arial" w:eastAsia="Arial" w:hAnsi="Arial"/>
          <w:sz w:val="18"/>
          <w:szCs w:val="18"/>
          <w:color w:val="auto"/>
        </w:rPr>
        <w:t>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301625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41" w:name="page42"/>
    <w:bookmarkEnd w:id="41"/>
    <w:p>
      <w:pPr>
        <w:jc w:val="both"/>
        <w:ind w:firstLine="757"/>
        <w:spacing w:after="0" w:line="255" w:lineRule="auto"/>
        <w:tabs>
          <w:tab w:leader="none" w:pos="1498" w:val="left"/>
        </w:tabs>
        <w:numPr>
          <w:ilvl w:val="0"/>
          <w:numId w:val="16"/>
        </w:numPr>
        <w:rPr>
          <w:rFonts w:ascii="Arial" w:cs="Arial" w:eastAsia="Arial" w:hAnsi="Arial"/>
          <w:sz w:val="19"/>
          <w:szCs w:val="19"/>
          <w:color w:val="010000"/>
        </w:rPr>
      </w:pPr>
      <w:r>
        <w:rPr>
          <w:rFonts w:ascii="Arial" w:cs="Arial" w:eastAsia="Arial" w:hAnsi="Arial"/>
          <w:sz w:val="19"/>
          <w:szCs w:val="19"/>
          <w:b w:val="1"/>
          <w:bCs w:val="1"/>
          <w:u w:val="single" w:color="auto"/>
          <w:color w:val="auto"/>
        </w:rPr>
        <w:t>Affirmation</w:t>
      </w:r>
      <w:r>
        <w:rPr>
          <w:rFonts w:ascii="Arial" w:cs="Arial" w:eastAsia="Arial" w:hAnsi="Arial"/>
          <w:sz w:val="19"/>
          <w:szCs w:val="19"/>
          <w:color w:val="auto"/>
        </w:rPr>
        <w:t>. Except as specifically amended pursuant to the terms hereof, Borrower hereby acknowledges and agrees</w:t>
      </w:r>
      <w:r>
        <w:rPr>
          <w:rFonts w:ascii="Arial" w:cs="Arial" w:eastAsia="Arial" w:hAnsi="Arial"/>
          <w:sz w:val="19"/>
          <w:szCs w:val="19"/>
          <w:b w:val="1"/>
          <w:bCs w:val="1"/>
          <w:color w:val="auto"/>
        </w:rPr>
        <w:t xml:space="preserve"> </w:t>
      </w:r>
      <w:r>
        <w:rPr>
          <w:rFonts w:ascii="Arial" w:cs="Arial" w:eastAsia="Arial" w:hAnsi="Arial"/>
          <w:sz w:val="19"/>
          <w:szCs w:val="19"/>
          <w:color w:val="auto"/>
        </w:rPr>
        <w:t>that the Credit Agreement and all other Financing Documents (and all covenants, terms, conditions and agreements therein) shall remain in full force and effect, and are hereby ratified and confirmed in all respects by each Credit Party, including without limitation the granting of Liens in the Collateral to secure the Obligations and other Financing Documents. Borrower covenants and agrees to comply with all of the terms, covenants and conditions of the Credit Agreement and the Financing Documents, notwithstanding any prior course of conduct, waivers, releases or other actions or inactions on Agent’s or any Lender’s part which might otherwise constitute or be construed as a waiver of or amendment to such terms, covenants and conditions. Borrower confirms and agrees that all security interests and Liens granted to Agent pursuant to the Financing Documents continue in full force and effect, and all Collateral remains free and clear of any Liens, other than those granted to Agent and Permitted Liens.</w:t>
      </w:r>
    </w:p>
    <w:p>
      <w:pPr>
        <w:spacing w:after="0" w:line="178" w:lineRule="exact"/>
        <w:rPr>
          <w:rFonts w:ascii="Arial" w:cs="Arial" w:eastAsia="Arial" w:hAnsi="Arial"/>
          <w:sz w:val="19"/>
          <w:szCs w:val="19"/>
          <w:color w:val="010000"/>
        </w:rPr>
      </w:pPr>
    </w:p>
    <w:p>
      <w:pPr>
        <w:ind w:left="1500" w:hanging="743"/>
        <w:spacing w:after="0"/>
        <w:tabs>
          <w:tab w:leader="none" w:pos="1500" w:val="left"/>
        </w:tabs>
        <w:numPr>
          <w:ilvl w:val="0"/>
          <w:numId w:val="16"/>
        </w:numPr>
        <w:rPr>
          <w:rFonts w:ascii="Arial" w:cs="Arial" w:eastAsia="Arial" w:hAnsi="Arial"/>
          <w:sz w:val="20"/>
          <w:szCs w:val="20"/>
          <w:color w:val="010000"/>
        </w:rPr>
      </w:pPr>
      <w:r>
        <w:rPr>
          <w:rFonts w:ascii="Arial" w:cs="Arial" w:eastAsia="Arial" w:hAnsi="Arial"/>
          <w:sz w:val="20"/>
          <w:szCs w:val="20"/>
          <w:b w:val="1"/>
          <w:bCs w:val="1"/>
          <w:u w:val="single" w:color="auto"/>
          <w:color w:val="auto"/>
        </w:rPr>
        <w:t>Miscellaneous</w:t>
      </w:r>
      <w:r>
        <w:rPr>
          <w:rFonts w:ascii="Arial" w:cs="Arial" w:eastAsia="Arial" w:hAnsi="Arial"/>
          <w:sz w:val="20"/>
          <w:szCs w:val="20"/>
          <w:color w:val="auto"/>
        </w:rPr>
        <w:t>.</w:t>
      </w:r>
    </w:p>
    <w:p>
      <w:pPr>
        <w:spacing w:after="0" w:line="222" w:lineRule="exact"/>
        <w:rPr>
          <w:sz w:val="20"/>
          <w:szCs w:val="20"/>
          <w:color w:val="auto"/>
        </w:rPr>
      </w:pPr>
    </w:p>
    <w:p>
      <w:pPr>
        <w:jc w:val="both"/>
        <w:ind w:firstLine="1497"/>
        <w:spacing w:after="0" w:line="241" w:lineRule="auto"/>
        <w:rPr>
          <w:sz w:val="20"/>
          <w:szCs w:val="20"/>
          <w:color w:val="auto"/>
        </w:rPr>
      </w:pPr>
      <w:r>
        <w:rPr>
          <w:rFonts w:ascii="Arial" w:cs="Arial" w:eastAsia="Arial" w:hAnsi="Arial"/>
          <w:sz w:val="20"/>
          <w:szCs w:val="20"/>
          <w:color w:val="010000"/>
        </w:rPr>
        <w:t xml:space="preserve">(a) </w:t>
      </w:r>
      <w:r>
        <w:rPr>
          <w:rFonts w:ascii="Arial" w:cs="Arial" w:eastAsia="Arial" w:hAnsi="Arial"/>
          <w:sz w:val="20"/>
          <w:szCs w:val="20"/>
          <w:u w:val="single" w:color="auto"/>
          <w:color w:val="000000"/>
        </w:rPr>
        <w:t>Reference to the Effect on the Credit Agreement</w:t>
      </w:r>
      <w:r>
        <w:rPr>
          <w:rFonts w:ascii="Arial" w:cs="Arial" w:eastAsia="Arial" w:hAnsi="Arial"/>
          <w:sz w:val="20"/>
          <w:szCs w:val="20"/>
          <w:color w:val="000000"/>
        </w:rPr>
        <w:t>. Upon the effectiveness of this Agreement, each</w:t>
      </w:r>
      <w:r>
        <w:rPr>
          <w:rFonts w:ascii="Arial" w:cs="Arial" w:eastAsia="Arial" w:hAnsi="Arial"/>
          <w:sz w:val="20"/>
          <w:szCs w:val="20"/>
          <w:color w:val="010000"/>
        </w:rPr>
        <w:t xml:space="preserve"> </w:t>
      </w:r>
      <w:r>
        <w:rPr>
          <w:rFonts w:ascii="Arial" w:cs="Arial" w:eastAsia="Arial" w:hAnsi="Arial"/>
          <w:sz w:val="20"/>
          <w:szCs w:val="20"/>
          <w:color w:val="000000"/>
        </w:rPr>
        <w:t>reference in the Credit Agreement to “this Agreement,” “hereunder,” “hereof,” “herein,” or words of similar import shall mean and be a reference to the Credit Agreement, as modified by this Agreement. Except as specifically set forth above, the Credit Agreement, and all other Financing Documents (and all covenants, terms, conditions and agreements therein), shall remain in full force and effect, and are hereby ratified and confirmed in all respects by each Credit Party.</w:t>
      </w:r>
    </w:p>
    <w:p>
      <w:pPr>
        <w:spacing w:after="0" w:line="195" w:lineRule="exact"/>
        <w:rPr>
          <w:sz w:val="20"/>
          <w:szCs w:val="20"/>
          <w:color w:val="auto"/>
        </w:rPr>
      </w:pPr>
    </w:p>
    <w:p>
      <w:pPr>
        <w:jc w:val="both"/>
        <w:ind w:firstLine="1505"/>
        <w:spacing w:after="0" w:line="241" w:lineRule="auto"/>
        <w:tabs>
          <w:tab w:leader="none" w:pos="2995" w:val="left"/>
        </w:tabs>
        <w:numPr>
          <w:ilvl w:val="0"/>
          <w:numId w:val="17"/>
        </w:numPr>
        <w:rPr>
          <w:rFonts w:ascii="Arial" w:cs="Arial" w:eastAsia="Arial" w:hAnsi="Arial"/>
          <w:sz w:val="20"/>
          <w:szCs w:val="20"/>
          <w:color w:val="010000"/>
        </w:rPr>
      </w:pPr>
      <w:r>
        <w:rPr>
          <w:rFonts w:ascii="Arial" w:cs="Arial" w:eastAsia="Arial" w:hAnsi="Arial"/>
          <w:sz w:val="20"/>
          <w:szCs w:val="20"/>
          <w:color w:val="auto"/>
        </w:rPr>
        <w:t>THIS AGREEMENT AND ALL DISPUTES AND OTHER MATTERS RELATING HERETO OR ARISING THEREFROM (WHETHER SOUNDING IN CONTRACT LAW, TORT LAW OR OTHERWISE), SHALL BE GOVERNED BY, AND SHALL BE CONSTRUED AND ENFORCED IN ACCORDANCE WITH, THE LAWS OF THE STATE OF NEW YORK, WITHOUT REGARD TO ITS CONFLICT OF LAWS PRINCIPLES (OTHER THAN SECTION 5-1401 OF THE GENERAL OBLIGATIONS LAW).</w:t>
      </w:r>
    </w:p>
    <w:p>
      <w:pPr>
        <w:spacing w:after="0" w:line="195" w:lineRule="exact"/>
        <w:rPr>
          <w:sz w:val="20"/>
          <w:szCs w:val="20"/>
          <w:color w:val="auto"/>
        </w:rPr>
      </w:pPr>
    </w:p>
    <w:p>
      <w:pPr>
        <w:jc w:val="both"/>
        <w:ind w:firstLine="1497"/>
        <w:spacing w:after="0" w:line="254" w:lineRule="auto"/>
        <w:rPr>
          <w:sz w:val="20"/>
          <w:szCs w:val="20"/>
          <w:color w:val="auto"/>
        </w:rPr>
      </w:pPr>
      <w:r>
        <w:rPr>
          <w:rFonts w:ascii="Arial" w:cs="Arial" w:eastAsia="Arial" w:hAnsi="Arial"/>
          <w:sz w:val="19"/>
          <w:szCs w:val="19"/>
          <w:color w:val="010000"/>
        </w:rPr>
        <w:t xml:space="preserve">(c) </w:t>
      </w:r>
      <w:r>
        <w:rPr>
          <w:rFonts w:ascii="Arial" w:cs="Arial" w:eastAsia="Arial" w:hAnsi="Arial"/>
          <w:sz w:val="19"/>
          <w:szCs w:val="19"/>
          <w:u w:val="single" w:color="auto"/>
          <w:color w:val="000000"/>
        </w:rPr>
        <w:t>WAIVER OF JURY TRIAL</w:t>
      </w:r>
      <w:r>
        <w:rPr>
          <w:rFonts w:ascii="Arial" w:cs="Arial" w:eastAsia="Arial" w:hAnsi="Arial"/>
          <w:sz w:val="19"/>
          <w:szCs w:val="19"/>
          <w:color w:val="000000"/>
        </w:rPr>
        <w:t>. EACH BORROWER, AGENT AND THE LENDERS PARTY HERETO</w:t>
      </w:r>
      <w:r>
        <w:rPr>
          <w:rFonts w:ascii="Arial" w:cs="Arial" w:eastAsia="Arial" w:hAnsi="Arial"/>
          <w:sz w:val="19"/>
          <w:szCs w:val="19"/>
          <w:color w:val="010000"/>
        </w:rPr>
        <w:t xml:space="preserve"> </w:t>
      </w:r>
      <w:r>
        <w:rPr>
          <w:rFonts w:ascii="Arial" w:cs="Arial" w:eastAsia="Arial" w:hAnsi="Arial"/>
          <w:sz w:val="19"/>
          <w:szCs w:val="19"/>
          <w:color w:val="000000"/>
        </w:rPr>
        <w:t>HEREBY IRREVOCABLY WAIVES ANY AND ALL RIGHT TO TRIAL BY JURY IN ANY LEGAL ACTION OR PROCEEDING ARISING OUT OF OR RELATING TO THIS AGREEMENT OR THE TRANSACTIONS CONTEMPLATED HEREBY AND AGREES THAT ANY SUCH ACTION OR PROCEEDING SHALL BE TRIED BEFORE A COURT AND NOT BEFORE A JURY. EACH BORROWER, AGENT AND EACH LENDER ACKNOWLEDGES THAT THIS WAIVER IS A MATERIAL INDUCEMENT TO ENTER INTO THIS AGREEMENT, THAT EACH HAS RELIED ON THE WAIVER IN ENTERING INTO THIS AGREEMENT, AND THAT EACH WILL CONTINUE TO RELY ON THIS WAIVER IN THEIR RELATED FUTURE DEALINGS. EACH BORROWER, AGENT AND EACH LENDER WARRANTS AND REPRESENTS THAT IT HAS HAD THE OPPORTUNITY OF REVIEWING THIS JURY WAIVER WITH LEGAL COUNSEL, AND THAT IT KNOWINGLY AND VOLUNTARILY WAIVES ITS JURY TRIAL RIGHTS.</w:t>
      </w:r>
    </w:p>
    <w:p>
      <w:pPr>
        <w:spacing w:after="0" w:line="187" w:lineRule="exact"/>
        <w:rPr>
          <w:sz w:val="20"/>
          <w:szCs w:val="20"/>
          <w:color w:val="auto"/>
        </w:rPr>
      </w:pPr>
    </w:p>
    <w:p>
      <w:pPr>
        <w:jc w:val="both"/>
        <w:ind w:firstLine="1505"/>
        <w:spacing w:after="0" w:line="243" w:lineRule="auto"/>
        <w:tabs>
          <w:tab w:leader="none" w:pos="2995" w:val="left"/>
        </w:tabs>
        <w:numPr>
          <w:ilvl w:val="0"/>
          <w:numId w:val="18"/>
        </w:numPr>
        <w:rPr>
          <w:rFonts w:ascii="Arial" w:cs="Arial" w:eastAsia="Arial" w:hAnsi="Arial"/>
          <w:sz w:val="20"/>
          <w:szCs w:val="20"/>
          <w:color w:val="010000"/>
        </w:rPr>
      </w:pPr>
      <w:r>
        <w:rPr>
          <w:rFonts w:ascii="Arial" w:cs="Arial" w:eastAsia="Arial" w:hAnsi="Arial"/>
          <w:sz w:val="20"/>
          <w:szCs w:val="20"/>
          <w:u w:val="single" w:color="auto"/>
          <w:color w:val="auto"/>
        </w:rPr>
        <w:t>Incorporation of Credit Agreement Provisions</w:t>
      </w:r>
      <w:r>
        <w:rPr>
          <w:rFonts w:ascii="Arial" w:cs="Arial" w:eastAsia="Arial" w:hAnsi="Arial"/>
          <w:sz w:val="20"/>
          <w:szCs w:val="20"/>
          <w:color w:val="auto"/>
        </w:rPr>
        <w:t>. The provisions contained in Section 11.6 (</w:t>
      </w:r>
      <w:r>
        <w:rPr>
          <w:rFonts w:ascii="Arial" w:cs="Arial" w:eastAsia="Arial" w:hAnsi="Arial"/>
          <w:sz w:val="20"/>
          <w:szCs w:val="20"/>
          <w:i w:val="1"/>
          <w:iCs w:val="1"/>
          <w:color w:val="auto"/>
        </w:rPr>
        <w:t>Indemnification</w:t>
      </w:r>
      <w:r>
        <w:rPr>
          <w:rFonts w:ascii="Arial" w:cs="Arial" w:eastAsia="Arial" w:hAnsi="Arial"/>
          <w:sz w:val="20"/>
          <w:szCs w:val="20"/>
          <w:color w:val="auto"/>
        </w:rPr>
        <w:t>), Section 12.8(b) (</w:t>
      </w:r>
      <w:r>
        <w:rPr>
          <w:rFonts w:ascii="Arial" w:cs="Arial" w:eastAsia="Arial" w:hAnsi="Arial"/>
          <w:sz w:val="20"/>
          <w:szCs w:val="20"/>
          <w:i w:val="1"/>
          <w:iCs w:val="1"/>
          <w:color w:val="auto"/>
        </w:rPr>
        <w:t>Submission to Jurisdiction</w:t>
      </w:r>
      <w:r>
        <w:rPr>
          <w:rFonts w:ascii="Arial" w:cs="Arial" w:eastAsia="Arial" w:hAnsi="Arial"/>
          <w:sz w:val="20"/>
          <w:szCs w:val="20"/>
          <w:color w:val="auto"/>
        </w:rPr>
        <w:t>) and Section 12.9(b) (</w:t>
      </w:r>
      <w:r>
        <w:rPr>
          <w:rFonts w:ascii="Arial" w:cs="Arial" w:eastAsia="Arial" w:hAnsi="Arial"/>
          <w:sz w:val="20"/>
          <w:szCs w:val="20"/>
          <w:i w:val="1"/>
          <w:iCs w:val="1"/>
          <w:color w:val="auto"/>
        </w:rPr>
        <w:t>Waiver of Jury Trial</w:t>
      </w:r>
      <w:r>
        <w:rPr>
          <w:rFonts w:ascii="Arial" w:cs="Arial" w:eastAsia="Arial" w:hAnsi="Arial"/>
          <w:sz w:val="20"/>
          <w:szCs w:val="20"/>
          <w:color w:val="auto"/>
        </w:rPr>
        <w:t>) of the Credit Agreement are incorporated herein by reference to the same extent as if reproduced herein in their entirety.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ind w:left="1500"/>
              <w:spacing w:after="0"/>
              <w:rPr>
                <w:sz w:val="20"/>
                <w:szCs w:val="20"/>
                <w:color w:val="auto"/>
              </w:rPr>
            </w:pPr>
            <w:r>
              <w:rPr>
                <w:rFonts w:ascii="Arial" w:cs="Arial" w:eastAsia="Arial" w:hAnsi="Arial"/>
                <w:sz w:val="20"/>
                <w:szCs w:val="20"/>
                <w:color w:val="010000"/>
              </w:rPr>
              <w:t>(e)</w:t>
            </w:r>
          </w:p>
        </w:tc>
        <w:tc>
          <w:tcPr>
            <w:tcW w:w="8240" w:type="dxa"/>
            <w:vAlign w:val="bottom"/>
            <w:gridSpan w:val="3"/>
          </w:tcPr>
          <w:p>
            <w:pPr>
              <w:spacing w:after="0"/>
              <w:rPr>
                <w:sz w:val="20"/>
                <w:szCs w:val="20"/>
                <w:color w:val="auto"/>
              </w:rPr>
            </w:pPr>
            <w:r>
              <w:rPr>
                <w:rFonts w:ascii="Arial" w:cs="Arial" w:eastAsia="Arial" w:hAnsi="Arial"/>
                <w:sz w:val="20"/>
                <w:szCs w:val="20"/>
                <w:color w:val="auto"/>
                <w:w w:val="90"/>
              </w:rPr>
              <w:t>Headings. Section headings in this Agreement are included for convenience of reference only and shall</w:t>
            </w:r>
          </w:p>
        </w:tc>
      </w:tr>
      <w:tr>
        <w:trPr>
          <w:trHeight w:val="20"/>
        </w:trPr>
        <w:tc>
          <w:tcPr>
            <w:tcW w:w="30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254"/>
        </w:trPr>
        <w:tc>
          <w:tcPr>
            <w:tcW w:w="11240" w:type="dxa"/>
            <w:vAlign w:val="bottom"/>
            <w:gridSpan w:val="4"/>
          </w:tcPr>
          <w:p>
            <w:pPr>
              <w:spacing w:after="0"/>
              <w:rPr>
                <w:sz w:val="20"/>
                <w:szCs w:val="20"/>
                <w:color w:val="auto"/>
              </w:rPr>
            </w:pPr>
            <w:r>
              <w:rPr>
                <w:rFonts w:ascii="Arial" w:cs="Arial" w:eastAsia="Arial" w:hAnsi="Arial"/>
                <w:sz w:val="20"/>
                <w:szCs w:val="20"/>
                <w:color w:val="auto"/>
              </w:rPr>
              <w:t>not constitute a part of this Agreement for any other purpose.</w:t>
            </w:r>
          </w:p>
        </w:tc>
      </w:tr>
      <w:tr>
        <w:trPr>
          <w:trHeight w:val="401"/>
        </w:trPr>
        <w:tc>
          <w:tcPr>
            <w:tcW w:w="3000" w:type="dxa"/>
            <w:vAlign w:val="bottom"/>
          </w:tcPr>
          <w:p>
            <w:pPr>
              <w:ind w:left="1500"/>
              <w:spacing w:after="0"/>
              <w:rPr>
                <w:sz w:val="20"/>
                <w:szCs w:val="20"/>
                <w:color w:val="auto"/>
              </w:rPr>
            </w:pPr>
            <w:r>
              <w:rPr>
                <w:rFonts w:ascii="Arial" w:cs="Arial" w:eastAsia="Arial" w:hAnsi="Arial"/>
                <w:sz w:val="20"/>
                <w:szCs w:val="20"/>
                <w:color w:val="010000"/>
              </w:rPr>
              <w:t>(f)</w:t>
            </w:r>
          </w:p>
        </w:tc>
        <w:tc>
          <w:tcPr>
            <w:tcW w:w="8240" w:type="dxa"/>
            <w:vAlign w:val="bottom"/>
            <w:gridSpan w:val="3"/>
          </w:tcPr>
          <w:p>
            <w:pPr>
              <w:spacing w:after="0"/>
              <w:rPr>
                <w:sz w:val="20"/>
                <w:szCs w:val="20"/>
                <w:color w:val="auto"/>
              </w:rPr>
            </w:pPr>
            <w:r>
              <w:rPr>
                <w:rFonts w:ascii="Arial" w:cs="Arial" w:eastAsia="Arial" w:hAnsi="Arial"/>
                <w:sz w:val="20"/>
                <w:szCs w:val="20"/>
                <w:color w:val="auto"/>
                <w:w w:val="92"/>
              </w:rPr>
              <w:t>Counterparts.  This Agreement may be signed in any number of counterparts, each of which shall be</w:t>
            </w:r>
          </w:p>
        </w:tc>
      </w:tr>
      <w:tr>
        <w:trPr>
          <w:trHeight w:val="20"/>
        </w:trPr>
        <w:tc>
          <w:tcPr>
            <w:tcW w:w="30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deemed an original and all of which when taken together shall constitute one and the same instrument. Delivery of an executed counterpart of this Agreement by facsimile or by electronic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2" w:name="page43"/>
    <w:bookmarkEnd w:id="42"/>
    <w:p>
      <w:pPr>
        <w:jc w:val="both"/>
        <w:spacing w:after="0" w:line="254" w:lineRule="auto"/>
        <w:rPr>
          <w:sz w:val="20"/>
          <w:szCs w:val="20"/>
          <w:color w:val="auto"/>
        </w:rPr>
      </w:pPr>
      <w:r>
        <w:rPr>
          <w:rFonts w:ascii="Arial" w:cs="Arial" w:eastAsia="Arial" w:hAnsi="Arial"/>
          <w:sz w:val="19"/>
          <w:szCs w:val="19"/>
          <w:color w:val="auto"/>
        </w:rPr>
        <w:t>delivery of an electronic version (e.g., .pdf or .tif file) of an executed signature page shall be effective as delivery of an original executed counterpart hereof and shall bind the parties hereto. In furtherance of the foregoing,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w:t>
      </w:r>
      <w:r>
        <w:rPr>
          <w:rFonts w:ascii="Arial" w:cs="Arial" w:eastAsia="Arial" w:hAnsi="Arial"/>
          <w:sz w:val="19"/>
          <w:szCs w:val="19"/>
          <w:b w:val="1"/>
          <w:bCs w:val="1"/>
          <w:color w:val="auto"/>
        </w:rPr>
        <w:t>Electronic Signature</w:t>
      </w:r>
      <w:r>
        <w:rPr>
          <w:rFonts w:ascii="Arial" w:cs="Arial" w:eastAsia="Arial" w:hAnsi="Arial"/>
          <w:sz w:val="19"/>
          <w:szCs w:val="19"/>
          <w:color w:val="auto"/>
        </w:rPr>
        <w:t>” means an electronic sound, symbol, or process attached to, or associated with, a contract or other record and adopted by a Person with the intent to sign, authenticate or accept such contract or other record.</w:t>
      </w:r>
    </w:p>
    <w:p>
      <w:pPr>
        <w:spacing w:after="0" w:line="185" w:lineRule="exact"/>
        <w:rPr>
          <w:sz w:val="20"/>
          <w:szCs w:val="20"/>
          <w:color w:val="auto"/>
        </w:rPr>
      </w:pPr>
    </w:p>
    <w:p>
      <w:pPr>
        <w:ind w:firstLine="1505"/>
        <w:spacing w:after="0" w:line="316" w:lineRule="auto"/>
        <w:tabs>
          <w:tab w:leader="none" w:pos="2995" w:val="left"/>
        </w:tabs>
        <w:numPr>
          <w:ilvl w:val="0"/>
          <w:numId w:val="19"/>
        </w:numPr>
        <w:rPr>
          <w:rFonts w:ascii="Arial" w:cs="Arial" w:eastAsia="Arial" w:hAnsi="Arial"/>
          <w:sz w:val="18"/>
          <w:szCs w:val="18"/>
          <w:color w:val="010000"/>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and understanding among the parties hereto and supersedes any and all prior agreements and understandings, oral or written, relating to the subject matter hereof.</w:t>
      </w:r>
    </w:p>
    <w:p>
      <w:pPr>
        <w:spacing w:after="0" w:line="116" w:lineRule="exact"/>
        <w:rPr>
          <w:rFonts w:ascii="Arial" w:cs="Arial" w:eastAsia="Arial" w:hAnsi="Arial"/>
          <w:sz w:val="18"/>
          <w:szCs w:val="18"/>
          <w:color w:val="010000"/>
        </w:rPr>
      </w:pPr>
    </w:p>
    <w:p>
      <w:pPr>
        <w:jc w:val="both"/>
        <w:ind w:firstLine="1505"/>
        <w:spacing w:after="0" w:line="250" w:lineRule="auto"/>
        <w:tabs>
          <w:tab w:leader="none" w:pos="2995" w:val="left"/>
        </w:tabs>
        <w:numPr>
          <w:ilvl w:val="0"/>
          <w:numId w:val="19"/>
        </w:numPr>
        <w:rPr>
          <w:rFonts w:ascii="Arial" w:cs="Arial" w:eastAsia="Arial" w:hAnsi="Arial"/>
          <w:sz w:val="20"/>
          <w:szCs w:val="20"/>
          <w:color w:val="010000"/>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spacing w:after="0" w:line="186" w:lineRule="exact"/>
        <w:rPr>
          <w:sz w:val="20"/>
          <w:szCs w:val="20"/>
          <w:color w:val="auto"/>
        </w:rPr>
      </w:pPr>
    </w:p>
    <w:p>
      <w:pPr>
        <w:ind w:firstLine="1497"/>
        <w:spacing w:after="0" w:line="287" w:lineRule="auto"/>
        <w:rPr>
          <w:sz w:val="20"/>
          <w:szCs w:val="20"/>
          <w:color w:val="auto"/>
        </w:rPr>
      </w:pPr>
      <w:r>
        <w:rPr>
          <w:rFonts w:ascii="Arial" w:cs="Arial" w:eastAsia="Arial" w:hAnsi="Arial"/>
          <w:sz w:val="19"/>
          <w:szCs w:val="19"/>
          <w:color w:val="010000"/>
        </w:rPr>
        <w:t xml:space="preserve">(i) </w:t>
      </w:r>
      <w:r>
        <w:rPr>
          <w:rFonts w:ascii="Arial" w:cs="Arial" w:eastAsia="Arial" w:hAnsi="Arial"/>
          <w:sz w:val="19"/>
          <w:szCs w:val="19"/>
          <w:u w:val="single" w:color="auto"/>
          <w:color w:val="000000"/>
        </w:rPr>
        <w:t>Successors/Assigns</w:t>
      </w:r>
      <w:r>
        <w:rPr>
          <w:rFonts w:ascii="Arial" w:cs="Arial" w:eastAsia="Arial" w:hAnsi="Arial"/>
          <w:sz w:val="19"/>
          <w:szCs w:val="19"/>
          <w:color w:val="000000"/>
        </w:rPr>
        <w:t>. This Agreement shall bind, and the rights hereunder shall inure to, the respective</w:t>
      </w:r>
      <w:r>
        <w:rPr>
          <w:rFonts w:ascii="Arial" w:cs="Arial" w:eastAsia="Arial" w:hAnsi="Arial"/>
          <w:sz w:val="19"/>
          <w:szCs w:val="19"/>
          <w:color w:val="010000"/>
        </w:rPr>
        <w:t xml:space="preserve"> </w:t>
      </w:r>
      <w:r>
        <w:rPr>
          <w:rFonts w:ascii="Arial" w:cs="Arial" w:eastAsia="Arial" w:hAnsi="Arial"/>
          <w:sz w:val="19"/>
          <w:szCs w:val="19"/>
          <w:color w:val="000000"/>
        </w:rPr>
        <w:t>successors and assigns of the parties hereto, subject to the provisions of the Credit Agreement and the other Financing Documents.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APPEAR ON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43" w:name="page44"/>
    <w:bookmarkEnd w:id="43"/>
    <w:p>
      <w:pPr>
        <w:ind w:firstLine="749"/>
        <w:spacing w:after="0" w:line="260" w:lineRule="auto"/>
        <w:rPr>
          <w:sz w:val="20"/>
          <w:szCs w:val="20"/>
          <w:color w:val="auto"/>
        </w:rPr>
      </w:pPr>
      <w:r>
        <w:rPr>
          <w:rFonts w:ascii="Arial" w:cs="Arial" w:eastAsia="Arial" w:hAnsi="Arial"/>
          <w:sz w:val="20"/>
          <w:szCs w:val="20"/>
          <w:color w:val="auto"/>
        </w:rPr>
        <w:t>IN WITNESS WHEREOF, intending to be legally bound, the undersigned have executed this Agreement as of the day and year first hereinabove set forth.</w:t>
      </w:r>
    </w:p>
    <w:p>
      <w:pPr>
        <w:spacing w:after="0" w:line="373" w:lineRule="exact"/>
        <w:rPr>
          <w:sz w:val="20"/>
          <w:szCs w:val="20"/>
          <w:color w:val="auto"/>
        </w:rPr>
      </w:pPr>
    </w:p>
    <w:p>
      <w:pPr>
        <w:ind w:left="20"/>
        <w:spacing w:after="0"/>
        <w:tabs>
          <w:tab w:leader="none" w:pos="4700" w:val="left"/>
        </w:tabs>
        <w:rPr>
          <w:sz w:val="20"/>
          <w:szCs w:val="20"/>
          <w:color w:val="auto"/>
        </w:rPr>
      </w:pPr>
      <w:r>
        <w:rPr>
          <w:rFonts w:ascii="Arial" w:cs="Arial" w:eastAsia="Arial" w:hAnsi="Arial"/>
          <w:sz w:val="20"/>
          <w:szCs w:val="20"/>
          <w:b w:val="1"/>
          <w:bCs w:val="1"/>
          <w:color w:val="auto"/>
        </w:rPr>
        <w:t>AGENT:</w:t>
      </w:r>
      <w:r>
        <w:rPr>
          <w:sz w:val="20"/>
          <w:szCs w:val="20"/>
          <w:color w:val="auto"/>
        </w:rPr>
        <w:tab/>
      </w:r>
      <w:r>
        <w:rPr>
          <w:rFonts w:ascii="Arial" w:cs="Arial" w:eastAsia="Arial" w:hAnsi="Arial"/>
          <w:sz w:val="20"/>
          <w:szCs w:val="20"/>
          <w:b w:val="1"/>
          <w:bCs w:val="1"/>
          <w:color w:val="auto"/>
        </w:rPr>
        <w:t>MIDCAP FUNDING IV TRUST</w:t>
      </w:r>
    </w:p>
    <w:p>
      <w:pPr>
        <w:spacing w:after="0" w:line="181"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Apollo Capital Management, L.P.,</w:t>
      </w:r>
    </w:p>
    <w:p>
      <w:pPr>
        <w:spacing w:after="0" w:line="2"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its investment manager</w:t>
      </w:r>
    </w:p>
    <w:p>
      <w:pPr>
        <w:spacing w:after="0" w:line="161"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Apollo Capital Management GP, LLC,</w:t>
      </w:r>
    </w:p>
    <w:p>
      <w:pPr>
        <w:ind w:left="5200"/>
        <w:spacing w:after="0"/>
        <w:rPr>
          <w:sz w:val="20"/>
          <w:szCs w:val="20"/>
          <w:color w:val="auto"/>
        </w:rPr>
      </w:pPr>
      <w:r>
        <w:rPr>
          <w:rFonts w:ascii="Arial" w:cs="Arial" w:eastAsia="Arial" w:hAnsi="Arial"/>
          <w:sz w:val="20"/>
          <w:szCs w:val="20"/>
          <w:color w:val="auto"/>
        </w:rPr>
        <w:t>its general partner</w:t>
      </w:r>
    </w:p>
    <w:p>
      <w:pPr>
        <w:spacing w:after="0" w:line="364"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/s/Maurice Amsellem</w:t>
      </w:r>
      <w:r>
        <w:rPr>
          <w:rFonts w:ascii="Arial" w:cs="Arial" w:eastAsia="Arial" w:hAnsi="Arial"/>
          <w:sz w:val="20"/>
          <w:szCs w:val="20"/>
          <w:color w:val="auto"/>
        </w:rPr>
        <w:t>__________________</w:t>
      </w:r>
    </w:p>
    <w:p>
      <w:pPr>
        <w:ind w:left="4760"/>
        <w:spacing w:after="0" w:line="225" w:lineRule="auto"/>
        <w:rPr>
          <w:sz w:val="20"/>
          <w:szCs w:val="20"/>
          <w:color w:val="auto"/>
        </w:rPr>
      </w:pPr>
      <w:r>
        <w:rPr>
          <w:rFonts w:ascii="Arial" w:cs="Arial" w:eastAsia="Arial" w:hAnsi="Arial"/>
          <w:sz w:val="20"/>
          <w:szCs w:val="20"/>
          <w:color w:val="auto"/>
        </w:rPr>
        <w:t>Name: Maurice Amsellem</w:t>
      </w:r>
    </w:p>
    <w:p>
      <w:pPr>
        <w:ind w:left="4760"/>
        <w:spacing w:after="0"/>
        <w:rPr>
          <w:sz w:val="20"/>
          <w:szCs w:val="20"/>
          <w:color w:val="auto"/>
        </w:rPr>
      </w:pPr>
      <w:r>
        <w:rPr>
          <w:rFonts w:ascii="Arial" w:cs="Arial" w:eastAsia="Arial" w:hAnsi="Arial"/>
          <w:sz w:val="20"/>
          <w:szCs w:val="20"/>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56"/>
        </w:trPr>
        <w:tc>
          <w:tcPr>
            <w:tcW w:w="2820" w:type="dxa"/>
            <w:vAlign w:val="bottom"/>
          </w:tcPr>
          <w:p>
            <w:pPr>
              <w:ind w:left="20"/>
              <w:spacing w:after="0"/>
              <w:rPr>
                <w:sz w:val="20"/>
                <w:szCs w:val="20"/>
                <w:color w:val="auto"/>
              </w:rPr>
            </w:pPr>
            <w:r>
              <w:rPr>
                <w:rFonts w:ascii="Arial" w:cs="Arial" w:eastAsia="Arial" w:hAnsi="Arial"/>
                <w:sz w:val="20"/>
                <w:szCs w:val="20"/>
                <w:b w:val="1"/>
                <w:bCs w:val="1"/>
                <w:color w:val="auto"/>
              </w:rPr>
              <w:t>LENDER:</w:t>
            </w:r>
          </w:p>
        </w:tc>
        <w:tc>
          <w:tcPr>
            <w:tcW w:w="8420" w:type="dxa"/>
            <w:vAlign w:val="bottom"/>
            <w:gridSpan w:val="3"/>
          </w:tcPr>
          <w:p>
            <w:pPr>
              <w:ind w:left="1900"/>
              <w:spacing w:after="0"/>
              <w:rPr>
                <w:sz w:val="20"/>
                <w:szCs w:val="20"/>
                <w:color w:val="auto"/>
              </w:rPr>
            </w:pPr>
            <w:r>
              <w:rPr>
                <w:rFonts w:ascii="Arial" w:cs="Arial" w:eastAsia="Arial" w:hAnsi="Arial"/>
                <w:sz w:val="20"/>
                <w:szCs w:val="20"/>
                <w:b w:val="1"/>
                <w:bCs w:val="1"/>
                <w:color w:val="auto"/>
              </w:rPr>
              <w:t>MIDCAP FUNDING IV TRUST</w:t>
            </w:r>
          </w:p>
        </w:tc>
      </w:tr>
      <w:tr>
        <w:trPr>
          <w:trHeight w:val="371"/>
        </w:trPr>
        <w:tc>
          <w:tcPr>
            <w:tcW w:w="2820" w:type="dxa"/>
            <w:vAlign w:val="bottom"/>
          </w:tcPr>
          <w:p>
            <w:pPr>
              <w:spacing w:after="0"/>
              <w:rPr>
                <w:sz w:val="24"/>
                <w:szCs w:val="24"/>
                <w:color w:val="auto"/>
              </w:rPr>
            </w:pPr>
          </w:p>
        </w:tc>
        <w:tc>
          <w:tcPr>
            <w:tcW w:w="8420" w:type="dxa"/>
            <w:vAlign w:val="bottom"/>
            <w:gridSpan w:val="3"/>
          </w:tcPr>
          <w:p>
            <w:pPr>
              <w:ind w:left="1900"/>
              <w:spacing w:after="0"/>
              <w:rPr>
                <w:sz w:val="20"/>
                <w:szCs w:val="20"/>
                <w:color w:val="auto"/>
              </w:rPr>
            </w:pPr>
            <w:r>
              <w:rPr>
                <w:rFonts w:ascii="Arial" w:cs="Arial" w:eastAsia="Arial" w:hAnsi="Arial"/>
                <w:sz w:val="20"/>
                <w:szCs w:val="20"/>
                <w:color w:val="auto"/>
              </w:rPr>
              <w:t>By: Apollo Capital Management, L.P.,</w:t>
            </w:r>
          </w:p>
        </w:tc>
      </w:tr>
      <w:tr>
        <w:trPr>
          <w:trHeight w:val="250"/>
        </w:trPr>
        <w:tc>
          <w:tcPr>
            <w:tcW w:w="2820" w:type="dxa"/>
            <w:vAlign w:val="bottom"/>
          </w:tcPr>
          <w:p>
            <w:pPr>
              <w:spacing w:after="0"/>
              <w:rPr>
                <w:sz w:val="21"/>
                <w:szCs w:val="21"/>
                <w:color w:val="auto"/>
              </w:rPr>
            </w:pPr>
          </w:p>
        </w:tc>
        <w:tc>
          <w:tcPr>
            <w:tcW w:w="8420" w:type="dxa"/>
            <w:vAlign w:val="bottom"/>
            <w:gridSpan w:val="3"/>
          </w:tcPr>
          <w:p>
            <w:pPr>
              <w:ind w:left="2380"/>
              <w:spacing w:after="0"/>
              <w:rPr>
                <w:sz w:val="20"/>
                <w:szCs w:val="20"/>
                <w:color w:val="auto"/>
              </w:rPr>
            </w:pPr>
            <w:r>
              <w:rPr>
                <w:rFonts w:ascii="Arial" w:cs="Arial" w:eastAsia="Arial" w:hAnsi="Arial"/>
                <w:sz w:val="20"/>
                <w:szCs w:val="20"/>
                <w:color w:val="auto"/>
              </w:rPr>
              <w:t>its investment manager</w:t>
            </w:r>
          </w:p>
        </w:tc>
      </w:tr>
      <w:tr>
        <w:trPr>
          <w:trHeight w:val="384"/>
        </w:trPr>
        <w:tc>
          <w:tcPr>
            <w:tcW w:w="2820" w:type="dxa"/>
            <w:vAlign w:val="bottom"/>
          </w:tcPr>
          <w:p>
            <w:pPr>
              <w:spacing w:after="0"/>
              <w:rPr>
                <w:sz w:val="24"/>
                <w:szCs w:val="24"/>
                <w:color w:val="auto"/>
              </w:rPr>
            </w:pPr>
          </w:p>
        </w:tc>
        <w:tc>
          <w:tcPr>
            <w:tcW w:w="8420" w:type="dxa"/>
            <w:vAlign w:val="bottom"/>
            <w:gridSpan w:val="3"/>
          </w:tcPr>
          <w:p>
            <w:pPr>
              <w:ind w:left="1900"/>
              <w:spacing w:after="0"/>
              <w:rPr>
                <w:sz w:val="20"/>
                <w:szCs w:val="20"/>
                <w:color w:val="auto"/>
              </w:rPr>
            </w:pPr>
            <w:r>
              <w:rPr>
                <w:rFonts w:ascii="Arial" w:cs="Arial" w:eastAsia="Arial" w:hAnsi="Arial"/>
                <w:sz w:val="20"/>
                <w:szCs w:val="20"/>
                <w:color w:val="auto"/>
              </w:rPr>
              <w:t>By: Apollo Capital Management GP, LLC,</w:t>
            </w:r>
          </w:p>
        </w:tc>
      </w:tr>
      <w:tr>
        <w:trPr>
          <w:trHeight w:val="250"/>
        </w:trPr>
        <w:tc>
          <w:tcPr>
            <w:tcW w:w="2820" w:type="dxa"/>
            <w:vAlign w:val="bottom"/>
          </w:tcPr>
          <w:p>
            <w:pPr>
              <w:spacing w:after="0"/>
              <w:rPr>
                <w:sz w:val="21"/>
                <w:szCs w:val="21"/>
                <w:color w:val="auto"/>
              </w:rPr>
            </w:pPr>
          </w:p>
        </w:tc>
        <w:tc>
          <w:tcPr>
            <w:tcW w:w="8420" w:type="dxa"/>
            <w:vAlign w:val="bottom"/>
            <w:gridSpan w:val="3"/>
          </w:tcPr>
          <w:p>
            <w:pPr>
              <w:ind w:left="2380"/>
              <w:spacing w:after="0"/>
              <w:rPr>
                <w:sz w:val="20"/>
                <w:szCs w:val="20"/>
                <w:color w:val="auto"/>
              </w:rPr>
            </w:pPr>
            <w:r>
              <w:rPr>
                <w:rFonts w:ascii="Arial" w:cs="Arial" w:eastAsia="Arial" w:hAnsi="Arial"/>
                <w:sz w:val="20"/>
                <w:szCs w:val="20"/>
                <w:color w:val="auto"/>
              </w:rPr>
              <w:t>its general partner</w:t>
            </w:r>
          </w:p>
        </w:tc>
      </w:tr>
      <w:tr>
        <w:trPr>
          <w:trHeight w:val="576"/>
        </w:trPr>
        <w:tc>
          <w:tcPr>
            <w:tcW w:w="2820" w:type="dxa"/>
            <w:vAlign w:val="bottom"/>
          </w:tcPr>
          <w:p>
            <w:pPr>
              <w:spacing w:after="0"/>
              <w:rPr>
                <w:sz w:val="24"/>
                <w:szCs w:val="24"/>
                <w:color w:val="auto"/>
              </w:rPr>
            </w:pPr>
          </w:p>
        </w:tc>
        <w:tc>
          <w:tcPr>
            <w:tcW w:w="8420" w:type="dxa"/>
            <w:vAlign w:val="bottom"/>
            <w:gridSpan w:val="3"/>
          </w:tcPr>
          <w:p>
            <w:pPr>
              <w:ind w:left="2380"/>
              <w:spacing w:after="0"/>
              <w:rPr>
                <w:sz w:val="20"/>
                <w:szCs w:val="20"/>
                <w:color w:val="auto"/>
              </w:rPr>
            </w:pPr>
            <w:r>
              <w:rPr>
                <w:rFonts w:ascii="Arial" w:cs="Arial" w:eastAsia="Arial" w:hAnsi="Arial"/>
                <w:sz w:val="20"/>
                <w:szCs w:val="20"/>
                <w:color w:val="auto"/>
              </w:rPr>
              <w:t>By: _/s/Maurice Amsellem__________________</w:t>
            </w:r>
          </w:p>
        </w:tc>
      </w:tr>
      <w:tr>
        <w:trPr>
          <w:trHeight w:val="20"/>
        </w:trPr>
        <w:tc>
          <w:tcPr>
            <w:tcW w:w="28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179"/>
        </w:trPr>
        <w:tc>
          <w:tcPr>
            <w:tcW w:w="2820" w:type="dxa"/>
            <w:vAlign w:val="bottom"/>
          </w:tcPr>
          <w:p>
            <w:pPr>
              <w:spacing w:after="0"/>
              <w:rPr>
                <w:sz w:val="15"/>
                <w:szCs w:val="15"/>
                <w:color w:val="auto"/>
              </w:rPr>
            </w:pPr>
          </w:p>
        </w:tc>
        <w:tc>
          <w:tcPr>
            <w:tcW w:w="4520" w:type="dxa"/>
            <w:vAlign w:val="bottom"/>
            <w:gridSpan w:val="2"/>
          </w:tcPr>
          <w:p>
            <w:pPr>
              <w:ind w:left="1940"/>
              <w:spacing w:after="0" w:line="179" w:lineRule="exact"/>
              <w:rPr>
                <w:sz w:val="20"/>
                <w:szCs w:val="20"/>
                <w:color w:val="auto"/>
              </w:rPr>
            </w:pPr>
            <w:r>
              <w:rPr>
                <w:rFonts w:ascii="Arial" w:cs="Arial" w:eastAsia="Arial" w:hAnsi="Arial"/>
                <w:sz w:val="20"/>
                <w:szCs w:val="20"/>
                <w:color w:val="auto"/>
              </w:rPr>
              <w:t>Name: Maurice Amsellem</w:t>
            </w:r>
          </w:p>
        </w:tc>
        <w:tc>
          <w:tcPr>
            <w:tcW w:w="3900" w:type="dxa"/>
            <w:vAlign w:val="bottom"/>
          </w:tcPr>
          <w:p>
            <w:pPr>
              <w:spacing w:after="0"/>
              <w:rPr>
                <w:sz w:val="15"/>
                <w:szCs w:val="15"/>
                <w:color w:val="auto"/>
              </w:rPr>
            </w:pPr>
          </w:p>
        </w:tc>
      </w:tr>
      <w:tr>
        <w:trPr>
          <w:trHeight w:val="250"/>
        </w:trPr>
        <w:tc>
          <w:tcPr>
            <w:tcW w:w="2820" w:type="dxa"/>
            <w:vAlign w:val="bottom"/>
          </w:tcPr>
          <w:p>
            <w:pPr>
              <w:spacing w:after="0"/>
              <w:rPr>
                <w:sz w:val="21"/>
                <w:szCs w:val="21"/>
                <w:color w:val="auto"/>
              </w:rPr>
            </w:pPr>
          </w:p>
        </w:tc>
        <w:tc>
          <w:tcPr>
            <w:tcW w:w="8420" w:type="dxa"/>
            <w:vAlign w:val="bottom"/>
            <w:gridSpan w:val="3"/>
          </w:tcPr>
          <w:p>
            <w:pPr>
              <w:ind w:left="1940"/>
              <w:spacing w:after="0"/>
              <w:rPr>
                <w:sz w:val="20"/>
                <w:szCs w:val="20"/>
                <w:color w:val="auto"/>
              </w:rPr>
            </w:pPr>
            <w:r>
              <w:rPr>
                <w:rFonts w:ascii="Arial" w:cs="Arial" w:eastAsia="Arial" w:hAnsi="Arial"/>
                <w:sz w:val="20"/>
                <w:szCs w:val="20"/>
                <w:color w:val="auto"/>
              </w:rPr>
              <w:t>Title:  Authorized Signatory</w:t>
            </w:r>
          </w:p>
        </w:tc>
      </w:tr>
      <w:tr>
        <w:trPr>
          <w:trHeight w:val="1528"/>
        </w:trPr>
        <w:tc>
          <w:tcPr>
            <w:tcW w:w="28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5" w:name="page46"/>
    <w:bookmarkEnd w:id="45"/>
    <w:p>
      <w:pPr>
        <w:spacing w:after="0"/>
        <w:tabs>
          <w:tab w:leader="none" w:pos="3160" w:val="left"/>
        </w:tabs>
        <w:rPr>
          <w:sz w:val="20"/>
          <w:szCs w:val="20"/>
          <w:color w:val="auto"/>
        </w:rPr>
      </w:pPr>
      <w:r>
        <w:rPr>
          <w:rFonts w:ascii="Arial" w:cs="Arial" w:eastAsia="Arial" w:hAnsi="Arial"/>
          <w:sz w:val="20"/>
          <w:szCs w:val="20"/>
          <w:b w:val="1"/>
          <w:bCs w:val="1"/>
          <w:color w:val="auto"/>
        </w:rPr>
        <w:t>BORROWER:</w:t>
      </w:r>
      <w:r>
        <w:rPr>
          <w:sz w:val="20"/>
          <w:szCs w:val="20"/>
          <w:color w:val="auto"/>
        </w:rPr>
        <w:tab/>
      </w:r>
      <w:r>
        <w:rPr>
          <w:rFonts w:ascii="Arial" w:cs="Arial" w:eastAsia="Arial" w:hAnsi="Arial"/>
          <w:sz w:val="20"/>
          <w:szCs w:val="20"/>
          <w:b w:val="1"/>
          <w:bCs w:val="1"/>
          <w:color w:val="auto"/>
        </w:rPr>
        <w:t>SIGHT SCIENCES, INC.</w:t>
      </w:r>
    </w:p>
    <w:p>
      <w:pPr>
        <w:spacing w:after="0" w:line="200" w:lineRule="exact"/>
        <w:rPr>
          <w:sz w:val="20"/>
          <w:szCs w:val="20"/>
          <w:color w:val="auto"/>
        </w:rPr>
      </w:pPr>
    </w:p>
    <w:p>
      <w:pPr>
        <w:spacing w:after="0" w:line="224"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By: _</w:t>
      </w:r>
      <w:r>
        <w:rPr>
          <w:rFonts w:ascii="Arial" w:cs="Arial" w:eastAsia="Arial" w:hAnsi="Arial"/>
          <w:sz w:val="16"/>
          <w:szCs w:val="16"/>
          <w:u w:val="single" w:color="auto"/>
          <w:color w:val="auto"/>
        </w:rPr>
        <w:t>/s/Jesse Selnick</w:t>
      </w:r>
      <w:r>
        <w:rPr>
          <w:rFonts w:ascii="Arial" w:cs="Arial" w:eastAsia="Arial" w:hAnsi="Arial"/>
          <w:sz w:val="16"/>
          <w:szCs w:val="16"/>
          <w:color w:val="auto"/>
        </w:rPr>
        <w:t>___________________</w:t>
      </w:r>
    </w:p>
    <w:p>
      <w:pPr>
        <w:spacing w:after="0" w:line="62"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Name: _</w:t>
      </w:r>
      <w:r>
        <w:rPr>
          <w:rFonts w:ascii="Arial" w:cs="Arial" w:eastAsia="Arial" w:hAnsi="Arial"/>
          <w:sz w:val="16"/>
          <w:szCs w:val="16"/>
          <w:u w:val="single" w:color="auto"/>
          <w:color w:val="auto"/>
        </w:rPr>
        <w:t>Jesse Selnick</w:t>
      </w:r>
      <w:r>
        <w:rPr>
          <w:rFonts w:ascii="Arial" w:cs="Arial" w:eastAsia="Arial" w:hAnsi="Arial"/>
          <w:sz w:val="16"/>
          <w:szCs w:val="16"/>
          <w:color w:val="auto"/>
        </w:rPr>
        <w:t>__________________</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_</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19" w:right="1440"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Paul Badawi, certify that:</w:t>
      </w:r>
    </w:p>
    <w:p>
      <w:pPr>
        <w:spacing w:after="0" w:line="198"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period ended June 30, 2022 of Sight Sciences, Inc.;</w:t>
      </w:r>
    </w:p>
    <w:p>
      <w:pPr>
        <w:spacing w:after="0" w:line="211" w:lineRule="exact"/>
        <w:rPr>
          <w:rFonts w:ascii="Arial" w:cs="Arial" w:eastAsia="Arial" w:hAnsi="Arial"/>
          <w:sz w:val="18"/>
          <w:szCs w:val="18"/>
          <w:color w:val="auto"/>
        </w:rPr>
      </w:pPr>
    </w:p>
    <w:p>
      <w:pPr>
        <w:jc w:val="both"/>
        <w:ind w:left="520" w:right="240" w:hanging="512"/>
        <w:spacing w:after="0" w:line="248"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40" w:hanging="512"/>
        <w:spacing w:after="0" w:line="256"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Arial" w:cs="Arial" w:eastAsia="Arial" w:hAnsi="Arial"/>
          <w:sz w:val="18"/>
          <w:szCs w:val="18"/>
          <w:color w:val="auto"/>
        </w:rPr>
      </w:pPr>
    </w:p>
    <w:p>
      <w:pPr>
        <w:ind w:left="1500" w:right="140" w:hanging="369"/>
        <w:spacing w:after="0" w:line="278" w:lineRule="auto"/>
        <w:tabs>
          <w:tab w:leader="none" w:pos="15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Arial" w:cs="Arial" w:eastAsia="Arial" w:hAnsi="Arial"/>
          <w:sz w:val="17"/>
          <w:szCs w:val="17"/>
          <w:color w:val="auto"/>
        </w:rPr>
      </w:pPr>
    </w:p>
    <w:p>
      <w:pPr>
        <w:ind w:left="1500" w:right="200" w:hanging="369"/>
        <w:spacing w:after="0" w:line="248" w:lineRule="auto"/>
        <w:tabs>
          <w:tab w:leader="none" w:pos="15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00" w:hanging="369"/>
        <w:spacing w:after="0" w:line="324" w:lineRule="auto"/>
        <w:tabs>
          <w:tab w:leader="none" w:pos="15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500" w:right="40" w:hanging="369"/>
        <w:spacing w:after="0" w:line="248" w:lineRule="auto"/>
        <w:tabs>
          <w:tab w:leader="none" w:pos="15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40" w:hanging="512"/>
        <w:spacing w:after="0" w:line="291" w:lineRule="auto"/>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500" w:right="300" w:hanging="369"/>
        <w:spacing w:after="0" w:line="324" w:lineRule="auto"/>
        <w:tabs>
          <w:tab w:leader="none" w:pos="15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500" w:right="580" w:hanging="369"/>
        <w:spacing w:after="0" w:line="261" w:lineRule="auto"/>
        <w:tabs>
          <w:tab w:leader="none" w:pos="15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11, 2022</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u w:val="single" w:color="auto"/>
          <w:color w:val="auto"/>
        </w:rPr>
        <w:t>/s/ Paul Badawi</w:t>
      </w:r>
    </w:p>
    <w:p>
      <w:pPr>
        <w:ind w:left="7420"/>
        <w:spacing w:after="0" w:line="231" w:lineRule="auto"/>
        <w:rPr>
          <w:sz w:val="20"/>
          <w:szCs w:val="20"/>
          <w:color w:val="auto"/>
        </w:rPr>
      </w:pPr>
      <w:r>
        <w:rPr>
          <w:rFonts w:ascii="Arial" w:cs="Arial" w:eastAsia="Arial" w:hAnsi="Arial"/>
          <w:sz w:val="18"/>
          <w:szCs w:val="18"/>
          <w:b w:val="1"/>
          <w:bCs w:val="1"/>
          <w:color w:val="auto"/>
        </w:rPr>
        <w:t>Paul Badawi</w:t>
      </w:r>
    </w:p>
    <w:p>
      <w:pPr>
        <w:ind w:left="6580"/>
        <w:spacing w:after="0"/>
        <w:rPr>
          <w:sz w:val="20"/>
          <w:szCs w:val="20"/>
          <w:color w:val="auto"/>
        </w:rPr>
      </w:pPr>
      <w:r>
        <w:rPr>
          <w:rFonts w:ascii="Arial" w:cs="Arial" w:eastAsia="Arial" w:hAnsi="Arial"/>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rPr>
          <w:sz w:val="20"/>
          <w:szCs w:val="20"/>
          <w:color w:val="auto"/>
        </w:rPr>
      </w:pPr>
      <w:r>
        <w:rPr>
          <w:rFonts w:ascii="Arial" w:cs="Arial" w:eastAsia="Arial" w:hAnsi="Arial"/>
          <w:sz w:val="18"/>
          <w:szCs w:val="18"/>
          <w:color w:val="auto"/>
        </w:rPr>
        <w:t>I, Jesse Selnick, certify that:</w:t>
      </w:r>
    </w:p>
    <w:p>
      <w:pPr>
        <w:spacing w:after="0" w:line="196"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period ended June 30, 2022 of Sight Sciences, Inc.;</w:t>
      </w:r>
    </w:p>
    <w:p>
      <w:pPr>
        <w:spacing w:after="0" w:line="198" w:lineRule="exact"/>
        <w:rPr>
          <w:rFonts w:ascii="Arial" w:cs="Arial" w:eastAsia="Arial" w:hAnsi="Arial"/>
          <w:sz w:val="18"/>
          <w:szCs w:val="18"/>
          <w:color w:val="auto"/>
        </w:rPr>
      </w:pPr>
    </w:p>
    <w:p>
      <w:pPr>
        <w:jc w:val="both"/>
        <w:ind w:left="520" w:right="240" w:hanging="512"/>
        <w:spacing w:after="0" w:line="256"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520" w:right="240" w:hanging="512"/>
        <w:spacing w:after="0" w:line="256"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1500" w:right="140" w:hanging="369"/>
        <w:spacing w:after="0" w:line="270" w:lineRule="auto"/>
        <w:tabs>
          <w:tab w:leader="none" w:pos="15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7"/>
          <w:szCs w:val="17"/>
          <w:color w:val="auto"/>
        </w:rPr>
      </w:pPr>
    </w:p>
    <w:p>
      <w:pPr>
        <w:ind w:left="1500" w:right="200" w:hanging="369"/>
        <w:spacing w:after="0" w:line="256" w:lineRule="auto"/>
        <w:tabs>
          <w:tab w:leader="none" w:pos="15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8"/>
          <w:szCs w:val="18"/>
          <w:color w:val="auto"/>
        </w:rPr>
      </w:pPr>
    </w:p>
    <w:p>
      <w:pPr>
        <w:jc w:val="both"/>
        <w:ind w:left="1500" w:hanging="369"/>
        <w:spacing w:after="0" w:line="324" w:lineRule="auto"/>
        <w:tabs>
          <w:tab w:leader="none" w:pos="15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500" w:right="40" w:hanging="369"/>
        <w:spacing w:after="0" w:line="256" w:lineRule="auto"/>
        <w:tabs>
          <w:tab w:leader="none" w:pos="15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1500" w:right="300" w:hanging="369"/>
        <w:spacing w:after="0" w:line="342" w:lineRule="auto"/>
        <w:tabs>
          <w:tab w:leader="none" w:pos="15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500" w:right="580" w:hanging="369"/>
        <w:spacing w:after="0" w:line="277" w:lineRule="auto"/>
        <w:tabs>
          <w:tab w:leader="none" w:pos="15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11, 2022</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u w:val="single" w:color="auto"/>
          <w:color w:val="auto"/>
        </w:rPr>
        <w:t>/s/ Jesse Selnick</w:t>
      </w:r>
    </w:p>
    <w:p>
      <w:pPr>
        <w:ind w:left="8000"/>
        <w:spacing w:after="0" w:line="231" w:lineRule="auto"/>
        <w:rPr>
          <w:sz w:val="20"/>
          <w:szCs w:val="20"/>
          <w:color w:val="auto"/>
        </w:rPr>
      </w:pPr>
      <w:r>
        <w:rPr>
          <w:rFonts w:ascii="Arial" w:cs="Arial" w:eastAsia="Arial" w:hAnsi="Arial"/>
          <w:sz w:val="18"/>
          <w:szCs w:val="18"/>
          <w:b w:val="1"/>
          <w:bCs w:val="1"/>
          <w:color w:val="auto"/>
        </w:rPr>
        <w:t>Jesse Selnick</w:t>
      </w:r>
    </w:p>
    <w:p>
      <w:pPr>
        <w:ind w:left="7200"/>
        <w:spacing w:after="0" w:line="219"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ind w:left="68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auto"/>
        </w:rPr>
        <w:t>Exhibit 32.1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188" w:lineRule="exact"/>
        <w:rPr>
          <w:sz w:val="20"/>
          <w:szCs w:val="20"/>
          <w:color w:val="auto"/>
        </w:rPr>
      </w:pPr>
    </w:p>
    <w:p>
      <w:pPr>
        <w:ind w:right="20" w:firstLine="432"/>
        <w:spacing w:after="0" w:line="250" w:lineRule="auto"/>
        <w:rPr>
          <w:sz w:val="20"/>
          <w:szCs w:val="20"/>
          <w:color w:val="auto"/>
        </w:rPr>
      </w:pPr>
      <w:r>
        <w:rPr>
          <w:rFonts w:ascii="Arial" w:cs="Arial" w:eastAsia="Arial" w:hAnsi="Arial"/>
          <w:sz w:val="22"/>
          <w:szCs w:val="22"/>
          <w:color w:val="auto"/>
        </w:rPr>
        <w:t>Pursuant to 18 U.S.C. § 1350, as created by Section 906 of the Sarbanes-Oxley Act of 2002, the undersigned officer of Sight Sciences, Inc. (the “</w:t>
      </w:r>
      <w:r>
        <w:rPr>
          <w:rFonts w:ascii="Arial" w:cs="Arial" w:eastAsia="Arial" w:hAnsi="Arial"/>
          <w:sz w:val="22"/>
          <w:szCs w:val="22"/>
          <w:u w:val="single" w:color="auto"/>
          <w:color w:val="auto"/>
        </w:rPr>
        <w:t>Company</w:t>
      </w:r>
      <w:r>
        <w:rPr>
          <w:rFonts w:ascii="Arial" w:cs="Arial" w:eastAsia="Arial" w:hAnsi="Arial"/>
          <w:sz w:val="22"/>
          <w:szCs w:val="22"/>
          <w:color w:val="auto"/>
        </w:rPr>
        <w:t>”) hereby certifies that:</w:t>
      </w:r>
    </w:p>
    <w:p>
      <w:pPr>
        <w:spacing w:after="0" w:line="175" w:lineRule="exact"/>
        <w:rPr>
          <w:sz w:val="20"/>
          <w:szCs w:val="20"/>
          <w:color w:val="auto"/>
        </w:rPr>
      </w:pPr>
    </w:p>
    <w:p>
      <w:pPr>
        <w:jc w:val="both"/>
        <w:ind w:left="1280" w:right="240" w:hanging="757"/>
        <w:spacing w:after="0" w:line="247" w:lineRule="auto"/>
        <w:tabs>
          <w:tab w:leader="none" w:pos="12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Quarterly Report on Form 10-Q of the Company for the quarterly period ended June 30, 2022 (the “</w:t>
      </w:r>
      <w:r>
        <w:rPr>
          <w:rFonts w:ascii="Arial" w:cs="Arial" w:eastAsia="Arial" w:hAnsi="Arial"/>
          <w:sz w:val="22"/>
          <w:szCs w:val="22"/>
          <w:u w:val="single" w:color="auto"/>
          <w:color w:val="auto"/>
        </w:rPr>
        <w:t>Report</w:t>
      </w:r>
      <w:r>
        <w:rPr>
          <w:rFonts w:ascii="Arial" w:cs="Arial" w:eastAsia="Arial" w:hAnsi="Arial"/>
          <w:sz w:val="22"/>
          <w:szCs w:val="22"/>
          <w:color w:val="auto"/>
        </w:rPr>
        <w:t>”) fully complies with the requirements of Section 13(a) or Section 15(d), as applicable, of the Securities Exchange Act of 1934, as amended; and</w:t>
      </w:r>
    </w:p>
    <w:p>
      <w:pPr>
        <w:spacing w:after="0" w:line="163" w:lineRule="exact"/>
        <w:rPr>
          <w:rFonts w:ascii="Arial" w:cs="Arial" w:eastAsia="Arial" w:hAnsi="Arial"/>
          <w:sz w:val="22"/>
          <w:szCs w:val="22"/>
          <w:color w:val="auto"/>
        </w:rPr>
      </w:pPr>
    </w:p>
    <w:p>
      <w:pPr>
        <w:ind w:left="1280" w:right="180" w:hanging="757"/>
        <w:spacing w:after="0" w:line="263" w:lineRule="auto"/>
        <w:tabs>
          <w:tab w:leader="none" w:pos="12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7" w:lineRule="exact"/>
        <w:rPr>
          <w:sz w:val="20"/>
          <w:szCs w:val="20"/>
          <w:color w:val="auto"/>
        </w:rPr>
      </w:pPr>
    </w:p>
    <w:tbl>
      <w:tblPr>
        <w:tblLayout w:type="fixed"/>
        <w:tblInd w:w="360" w:type="dxa"/>
        <w:tblCellMar>
          <w:top w:w="0" w:type="dxa"/>
          <w:left w:w="0" w:type="dxa"/>
          <w:bottom w:w="0" w:type="dxa"/>
          <w:right w:w="0" w:type="dxa"/>
        </w:tblCellMar>
      </w:tblPr>
      <w:tr>
        <w:trPr>
          <w:trHeight w:val="253"/>
        </w:trPr>
        <w:tc>
          <w:tcPr>
            <w:tcW w:w="5320" w:type="dxa"/>
            <w:vAlign w:val="bottom"/>
          </w:tcPr>
          <w:p>
            <w:pPr>
              <w:spacing w:after="0"/>
              <w:rPr>
                <w:sz w:val="20"/>
                <w:szCs w:val="20"/>
                <w:color w:val="auto"/>
              </w:rPr>
            </w:pPr>
            <w:r>
              <w:rPr>
                <w:rFonts w:ascii="Arial" w:cs="Arial" w:eastAsia="Arial" w:hAnsi="Arial"/>
                <w:sz w:val="22"/>
                <w:szCs w:val="22"/>
                <w:color w:val="auto"/>
              </w:rPr>
              <w:t>Dated:  August 11, 2022</w:t>
            </w:r>
          </w:p>
        </w:tc>
        <w:tc>
          <w:tcPr>
            <w:tcW w:w="5200" w:type="dxa"/>
            <w:vAlign w:val="bottom"/>
            <w:gridSpan w:val="2"/>
          </w:tcPr>
          <w:p>
            <w:pPr>
              <w:jc w:val="right"/>
              <w:spacing w:after="0"/>
              <w:rPr>
                <w:sz w:val="20"/>
                <w:szCs w:val="20"/>
                <w:color w:val="auto"/>
              </w:rPr>
            </w:pPr>
            <w:r>
              <w:rPr>
                <w:rFonts w:ascii="Arial" w:cs="Arial" w:eastAsia="Arial" w:hAnsi="Arial"/>
                <w:sz w:val="22"/>
                <w:szCs w:val="22"/>
                <w:color w:val="auto"/>
              </w:rPr>
              <w:t>/s/ Paul Badawi</w:t>
            </w:r>
          </w:p>
        </w:tc>
      </w:tr>
      <w:tr>
        <w:trPr>
          <w:trHeight w:val="269"/>
        </w:trPr>
        <w:tc>
          <w:tcPr>
            <w:tcW w:w="532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Paul Badawi</w:t>
            </w:r>
          </w:p>
        </w:tc>
      </w:tr>
      <w:tr>
        <w:trPr>
          <w:trHeight w:val="274"/>
        </w:trPr>
        <w:tc>
          <w:tcPr>
            <w:tcW w:w="5320" w:type="dxa"/>
            <w:vAlign w:val="bottom"/>
          </w:tcPr>
          <w:p>
            <w:pPr>
              <w:spacing w:after="0"/>
              <w:rPr>
                <w:sz w:val="23"/>
                <w:szCs w:val="23"/>
                <w:color w:val="auto"/>
              </w:rPr>
            </w:pPr>
          </w:p>
        </w:tc>
        <w:tc>
          <w:tcPr>
            <w:tcW w:w="5200" w:type="dxa"/>
            <w:vAlign w:val="bottom"/>
            <w:gridSpan w:val="2"/>
          </w:tcPr>
          <w:p>
            <w:pPr>
              <w:jc w:val="right"/>
              <w:spacing w:after="0"/>
              <w:rPr>
                <w:sz w:val="20"/>
                <w:szCs w:val="20"/>
                <w:color w:val="auto"/>
              </w:rPr>
            </w:pPr>
            <w:r>
              <w:rPr>
                <w:rFonts w:ascii="Arial" w:cs="Arial" w:eastAsia="Arial" w:hAnsi="Arial"/>
                <w:sz w:val="22"/>
                <w:szCs w:val="22"/>
                <w:color w:val="auto"/>
              </w:rPr>
              <w:t>Chief Executive Officer</w:t>
            </w:r>
          </w:p>
        </w:tc>
      </w:tr>
    </w:tbl>
    <w:p>
      <w:pPr>
        <w:spacing w:after="0" w:line="185" w:lineRule="exact"/>
        <w:rPr>
          <w:sz w:val="20"/>
          <w:szCs w:val="20"/>
          <w:color w:val="auto"/>
        </w:rPr>
      </w:pPr>
    </w:p>
    <w:p>
      <w:pPr>
        <w:spacing w:after="0" w:line="245" w:lineRule="auto"/>
        <w:rPr>
          <w:sz w:val="20"/>
          <w:szCs w:val="20"/>
          <w:color w:val="auto"/>
        </w:rPr>
      </w:pPr>
      <w:r>
        <w:rPr>
          <w:rFonts w:ascii="Arial" w:cs="Arial" w:eastAsia="Arial" w:hAnsi="Arial"/>
          <w:sz w:val="22"/>
          <w:szCs w:val="22"/>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b w:val="1"/>
          <w:bCs w:val="1"/>
          <w:color w:val="auto"/>
        </w:rPr>
        <w:t>Exhibit 32.2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188" w:lineRule="exact"/>
        <w:rPr>
          <w:sz w:val="20"/>
          <w:szCs w:val="20"/>
          <w:color w:val="auto"/>
        </w:rPr>
      </w:pPr>
    </w:p>
    <w:p>
      <w:pPr>
        <w:ind w:right="20" w:firstLine="432"/>
        <w:spacing w:after="0" w:line="250" w:lineRule="auto"/>
        <w:rPr>
          <w:sz w:val="20"/>
          <w:szCs w:val="20"/>
          <w:color w:val="auto"/>
        </w:rPr>
      </w:pPr>
      <w:r>
        <w:rPr>
          <w:rFonts w:ascii="Arial" w:cs="Arial" w:eastAsia="Arial" w:hAnsi="Arial"/>
          <w:sz w:val="22"/>
          <w:szCs w:val="22"/>
          <w:color w:val="auto"/>
        </w:rPr>
        <w:t>Pursuant to 18 U.S.C. § 1350, as created by Section 906 of the Sarbanes-Oxley Act of 2002, the undersigned officer of Sight Sciences, Inc. (the “</w:t>
      </w:r>
      <w:r>
        <w:rPr>
          <w:rFonts w:ascii="Arial" w:cs="Arial" w:eastAsia="Arial" w:hAnsi="Arial"/>
          <w:sz w:val="22"/>
          <w:szCs w:val="22"/>
          <w:u w:val="single" w:color="auto"/>
          <w:color w:val="auto"/>
        </w:rPr>
        <w:t>Company</w:t>
      </w:r>
      <w:r>
        <w:rPr>
          <w:rFonts w:ascii="Arial" w:cs="Arial" w:eastAsia="Arial" w:hAnsi="Arial"/>
          <w:sz w:val="22"/>
          <w:szCs w:val="22"/>
          <w:color w:val="auto"/>
        </w:rPr>
        <w:t>”) hereby certifies that:</w:t>
      </w:r>
    </w:p>
    <w:p>
      <w:pPr>
        <w:spacing w:after="0" w:line="175" w:lineRule="exact"/>
        <w:rPr>
          <w:sz w:val="20"/>
          <w:szCs w:val="20"/>
          <w:color w:val="auto"/>
        </w:rPr>
      </w:pPr>
    </w:p>
    <w:p>
      <w:pPr>
        <w:jc w:val="both"/>
        <w:ind w:left="1280" w:right="240" w:hanging="757"/>
        <w:spacing w:after="0" w:line="247" w:lineRule="auto"/>
        <w:tabs>
          <w:tab w:leader="none" w:pos="12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Quarterly Report on Form 10-Q of the Company for the quarterly period ended June 30, 2022 (the “</w:t>
      </w:r>
      <w:r>
        <w:rPr>
          <w:rFonts w:ascii="Arial" w:cs="Arial" w:eastAsia="Arial" w:hAnsi="Arial"/>
          <w:sz w:val="22"/>
          <w:szCs w:val="22"/>
          <w:u w:val="single" w:color="auto"/>
          <w:color w:val="auto"/>
        </w:rPr>
        <w:t>Report</w:t>
      </w:r>
      <w:r>
        <w:rPr>
          <w:rFonts w:ascii="Arial" w:cs="Arial" w:eastAsia="Arial" w:hAnsi="Arial"/>
          <w:sz w:val="22"/>
          <w:szCs w:val="22"/>
          <w:color w:val="auto"/>
        </w:rPr>
        <w:t>”) fully complies with the requirements of Section 13(a) or Section 15(d), as applicable, of the Securities Exchange Act of 1934, as amended; and</w:t>
      </w:r>
    </w:p>
    <w:p>
      <w:pPr>
        <w:spacing w:after="0" w:line="163" w:lineRule="exact"/>
        <w:rPr>
          <w:rFonts w:ascii="Arial" w:cs="Arial" w:eastAsia="Arial" w:hAnsi="Arial"/>
          <w:sz w:val="22"/>
          <w:szCs w:val="22"/>
          <w:color w:val="auto"/>
        </w:rPr>
      </w:pPr>
    </w:p>
    <w:p>
      <w:pPr>
        <w:ind w:left="1280" w:right="180" w:hanging="757"/>
        <w:spacing w:after="0" w:line="263" w:lineRule="auto"/>
        <w:tabs>
          <w:tab w:leader="none" w:pos="12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7" w:lineRule="exact"/>
        <w:rPr>
          <w:sz w:val="20"/>
          <w:szCs w:val="20"/>
          <w:color w:val="auto"/>
        </w:rPr>
      </w:pPr>
    </w:p>
    <w:tbl>
      <w:tblPr>
        <w:tblLayout w:type="fixed"/>
        <w:tblInd w:w="360" w:type="dxa"/>
        <w:tblCellMar>
          <w:top w:w="0" w:type="dxa"/>
          <w:left w:w="0" w:type="dxa"/>
          <w:bottom w:w="0" w:type="dxa"/>
          <w:right w:w="0" w:type="dxa"/>
        </w:tblCellMar>
      </w:tblPr>
      <w:tr>
        <w:trPr>
          <w:trHeight w:val="253"/>
        </w:trPr>
        <w:tc>
          <w:tcPr>
            <w:tcW w:w="5340" w:type="dxa"/>
            <w:vAlign w:val="bottom"/>
          </w:tcPr>
          <w:p>
            <w:pPr>
              <w:spacing w:after="0"/>
              <w:rPr>
                <w:sz w:val="20"/>
                <w:szCs w:val="20"/>
                <w:color w:val="auto"/>
              </w:rPr>
            </w:pPr>
            <w:r>
              <w:rPr>
                <w:rFonts w:ascii="Arial" w:cs="Arial" w:eastAsia="Arial" w:hAnsi="Arial"/>
                <w:sz w:val="22"/>
                <w:szCs w:val="22"/>
                <w:color w:val="auto"/>
              </w:rPr>
              <w:t>Dated:  August 11, 2022</w:t>
            </w:r>
          </w:p>
        </w:tc>
        <w:tc>
          <w:tcPr>
            <w:tcW w:w="5180" w:type="dxa"/>
            <w:vAlign w:val="bottom"/>
            <w:gridSpan w:val="2"/>
          </w:tcPr>
          <w:p>
            <w:pPr>
              <w:jc w:val="right"/>
              <w:spacing w:after="0"/>
              <w:rPr>
                <w:sz w:val="20"/>
                <w:szCs w:val="20"/>
                <w:color w:val="auto"/>
              </w:rPr>
            </w:pPr>
            <w:r>
              <w:rPr>
                <w:rFonts w:ascii="Arial" w:cs="Arial" w:eastAsia="Arial" w:hAnsi="Arial"/>
                <w:sz w:val="22"/>
                <w:szCs w:val="22"/>
                <w:color w:val="auto"/>
              </w:rPr>
              <w:t>/s/ Jesse Selnick</w:t>
            </w:r>
          </w:p>
        </w:tc>
      </w:tr>
      <w:tr>
        <w:trPr>
          <w:trHeight w:val="269"/>
        </w:trPr>
        <w:tc>
          <w:tcPr>
            <w:tcW w:w="534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Jesse Selnick</w:t>
            </w:r>
          </w:p>
        </w:tc>
      </w:tr>
      <w:tr>
        <w:trPr>
          <w:trHeight w:val="274"/>
        </w:trPr>
        <w:tc>
          <w:tcPr>
            <w:tcW w:w="5340" w:type="dxa"/>
            <w:vAlign w:val="bottom"/>
          </w:tcPr>
          <w:p>
            <w:pPr>
              <w:spacing w:after="0"/>
              <w:rPr>
                <w:sz w:val="23"/>
                <w:szCs w:val="23"/>
                <w:color w:val="auto"/>
              </w:rPr>
            </w:pPr>
          </w:p>
        </w:tc>
        <w:tc>
          <w:tcPr>
            <w:tcW w:w="5180" w:type="dxa"/>
            <w:vAlign w:val="bottom"/>
            <w:gridSpan w:val="2"/>
          </w:tcPr>
          <w:p>
            <w:pPr>
              <w:jc w:val="right"/>
              <w:spacing w:after="0"/>
              <w:rPr>
                <w:sz w:val="20"/>
                <w:szCs w:val="20"/>
                <w:color w:val="auto"/>
              </w:rPr>
            </w:pPr>
            <w:r>
              <w:rPr>
                <w:rFonts w:ascii="Arial" w:cs="Arial" w:eastAsia="Arial" w:hAnsi="Arial"/>
                <w:sz w:val="22"/>
                <w:szCs w:val="22"/>
                <w:color w:val="auto"/>
              </w:rPr>
              <w:t>Chief Financial Officer</w:t>
            </w:r>
          </w:p>
        </w:tc>
      </w:tr>
    </w:tbl>
    <w:p>
      <w:pPr>
        <w:spacing w:after="0" w:line="200" w:lineRule="exact"/>
        <w:rPr>
          <w:sz w:val="20"/>
          <w:szCs w:val="20"/>
          <w:color w:val="auto"/>
        </w:rPr>
      </w:pPr>
    </w:p>
    <w:p>
      <w:pPr>
        <w:spacing w:after="0" w:line="201" w:lineRule="exact"/>
        <w:rPr>
          <w:sz w:val="20"/>
          <w:szCs w:val="20"/>
          <w:color w:val="auto"/>
        </w:rPr>
      </w:pPr>
    </w:p>
    <w:p>
      <w:pPr>
        <w:spacing w:after="0" w:line="241" w:lineRule="auto"/>
        <w:rPr>
          <w:sz w:val="20"/>
          <w:szCs w:val="20"/>
          <w:color w:val="auto"/>
        </w:rPr>
      </w:pPr>
      <w:r>
        <w:rPr>
          <w:rFonts w:ascii="Arial" w:cs="Arial" w:eastAsia="Arial" w:hAnsi="Arial"/>
          <w:sz w:val="22"/>
          <w:szCs w:val="22"/>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427355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upperLetter"/>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lowerLetter"/>
      <w:start w:val="2"/>
    </w:lvl>
  </w:abstractNum>
  <w:abstractNum w:abstractNumId="9">
    <w:nsid w:val="4E6AFB66"/>
    <w:multiLevelType w:val="hybridMultilevel"/>
    <w:lvl w:ilvl="0">
      <w:lvlJc w:val="left"/>
      <w:lvlText w:val="(%1)"/>
      <w:numFmt w:val="lowerLetter"/>
      <w:start w:val="4"/>
    </w:lvl>
  </w:abstractNum>
  <w:abstractNum w:abstractNumId="10">
    <w:nsid w:val="25E45D32"/>
    <w:multiLevelType w:val="hybridMultilevel"/>
    <w:lvl w:ilvl="0">
      <w:lvlJc w:val="left"/>
      <w:lvlText w:val="(%1)"/>
      <w:numFmt w:val="lowerRoman"/>
      <w:start w:val="2"/>
    </w:lvl>
  </w:abstractNum>
  <w:abstractNum w:abstractNumId="11">
    <w:nsid w:val="519B500D"/>
    <w:multiLevelType w:val="hybridMultilevel"/>
    <w:lvl w:ilvl="0">
      <w:lvlJc w:val="left"/>
      <w:lvlText w:val="%1."/>
      <w:numFmt w:val="decimal"/>
      <w:start w:val="3"/>
    </w:lvl>
  </w:abstractNum>
  <w:abstractNum w:abstractNumId="12">
    <w:nsid w:val="431BD7B7"/>
    <w:multiLevelType w:val="hybridMultilevel"/>
    <w:lvl w:ilvl="0">
      <w:lvlJc w:val="left"/>
      <w:lvlText w:val="(%1)"/>
      <w:numFmt w:val="lowerLetter"/>
      <w:start w:val="2"/>
    </w:lvl>
  </w:abstractNum>
  <w:abstractNum w:abstractNumId="13">
    <w:nsid w:val="3F2DBA31"/>
    <w:multiLevelType w:val="hybridMultilevel"/>
    <w:lvl w:ilvl="0">
      <w:lvlJc w:val="left"/>
      <w:lvlText w:val="(%1)"/>
      <w:numFmt w:val="lowerLetter"/>
      <w:start w:val="4"/>
    </w:lvl>
  </w:abstractNum>
  <w:abstractNum w:abstractNumId="14">
    <w:nsid w:val="7C83E458"/>
    <w:multiLevelType w:val="hybridMultilevel"/>
    <w:lvl w:ilvl="0">
      <w:lvlJc w:val="left"/>
      <w:lvlText w:val="%1."/>
      <w:numFmt w:val="decimal"/>
      <w:start w:val="5"/>
    </w:lvl>
  </w:abstractNum>
  <w:abstractNum w:abstractNumId="15">
    <w:nsid w:val="257130A3"/>
    <w:multiLevelType w:val="hybridMultilevel"/>
    <w:lvl w:ilvl="0">
      <w:lvlJc w:val="left"/>
      <w:lvlText w:val="%1."/>
      <w:numFmt w:val="decimal"/>
      <w:start w:val="8"/>
    </w:lvl>
  </w:abstractNum>
  <w:abstractNum w:abstractNumId="16">
    <w:nsid w:val="62BBD95A"/>
    <w:multiLevelType w:val="hybridMultilevel"/>
    <w:lvl w:ilvl="0">
      <w:lvlJc w:val="left"/>
      <w:lvlText w:val="(%1)"/>
      <w:numFmt w:val="lowerLetter"/>
      <w:start w:val="2"/>
    </w:lvl>
  </w:abstractNum>
  <w:abstractNum w:abstractNumId="17">
    <w:nsid w:val="436C6125"/>
    <w:multiLevelType w:val="hybridMultilevel"/>
    <w:lvl w:ilvl="0">
      <w:lvlJc w:val="left"/>
      <w:lvlText w:val="(%1)"/>
      <w:numFmt w:val="lowerLetter"/>
      <w:start w:val="4"/>
    </w:lvl>
  </w:abstractNum>
  <w:abstractNum w:abstractNumId="18">
    <w:nsid w:val="628C895D"/>
    <w:multiLevelType w:val="hybridMultilevel"/>
    <w:lvl w:ilvl="0">
      <w:lvlJc w:val="left"/>
      <w:lvlText w:val="(%1)"/>
      <w:numFmt w:val="lowerLetter"/>
      <w:start w:val="7"/>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71" Type="http://schemas.openxmlformats.org/officeDocument/2006/relationships/image" Target="media/image259.png"/><Relationship Id="rId272" Type="http://schemas.openxmlformats.org/officeDocument/2006/relationships/image" Target="media/image260.png"/><Relationship Id="rId273" Type="http://schemas.openxmlformats.org/officeDocument/2006/relationships/image" Target="media/image261.png"/><Relationship Id="rId274" Type="http://schemas.openxmlformats.org/officeDocument/2006/relationships/image" Target="media/image262.png"/><Relationship Id="rId275" Type="http://schemas.openxmlformats.org/officeDocument/2006/relationships/image" Target="media/image263.png"/><Relationship Id="rId276" Type="http://schemas.openxmlformats.org/officeDocument/2006/relationships/image" Target="media/image264.png"/><Relationship Id="rId277" Type="http://schemas.openxmlformats.org/officeDocument/2006/relationships/image" Target="media/image265.png"/><Relationship Id="rId278" Type="http://schemas.openxmlformats.org/officeDocument/2006/relationships/image" Target="media/image266.png"/><Relationship Id="rId279" Type="http://schemas.openxmlformats.org/officeDocument/2006/relationships/image" Target="media/image267.png"/><Relationship Id="rId280" Type="http://schemas.openxmlformats.org/officeDocument/2006/relationships/image" Target="media/image268.png"/><Relationship Id="rId281" Type="http://schemas.openxmlformats.org/officeDocument/2006/relationships/image" Target="media/image269.png"/><Relationship Id="rId282" Type="http://schemas.openxmlformats.org/officeDocument/2006/relationships/image" Target="media/image270.png"/><Relationship Id="rId283" Type="http://schemas.openxmlformats.org/officeDocument/2006/relationships/image" Target="media/image271.png"/><Relationship Id="rId284" Type="http://schemas.openxmlformats.org/officeDocument/2006/relationships/image" Target="media/image272.png"/><Relationship Id="rId285" Type="http://schemas.openxmlformats.org/officeDocument/2006/relationships/image" Target="media/image273.png"/><Relationship Id="rId286" Type="http://schemas.openxmlformats.org/officeDocument/2006/relationships/image" Target="media/image274.png"/><Relationship Id="rId287" Type="http://schemas.openxmlformats.org/officeDocument/2006/relationships/image" Target="media/image275.png"/><Relationship Id="rId266" Type="http://schemas.openxmlformats.org/officeDocument/2006/relationships/hyperlink" Target="https://www.sec.gov/Archives/edgar/data/1531177/000119312521218705/d116785dex31.htm" TargetMode="External"/><Relationship Id="rId267" Type="http://schemas.openxmlformats.org/officeDocument/2006/relationships/hyperlink" Target="https://www.sec.gov/Archives/edgar/data/1531177/000119312521218705/d116785dex32.htm" TargetMode="External"/><Relationship Id="rId268" Type="http://schemas.openxmlformats.org/officeDocument/2006/relationships/hyperlink" Target="https://www.sec.gov/Archives/edgar/data/1531177/000119312521210231/d90195dex41.htm" TargetMode="External"/><Relationship Id="rId269" Type="http://schemas.openxmlformats.org/officeDocument/2006/relationships/hyperlink" Target="https://www.sec.gov/Archives/edgar/data/1531177/000119312521210231/d90195dex42.htm" TargetMode="External"/><Relationship Id="rId270" Type="http://schemas.openxmlformats.org/officeDocument/2006/relationships/hyperlink" Target="https://www.sec.gov/Archives/edgar/data/1531177/000119312521197314/d90195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2022-08-11T16:03:34Z</dcterms:created>
  <dcterms:modified xsi:type="dcterms:W3CDTF">2022-08-11T16:03:34Z</dcterms:modified>
</cp:coreProperties>
</file>