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51231.htm"/>
      <w:bookmarkStart w:id="1" w:name="kssght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SIGHT SCIENCES,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(877) 266-1144</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2506"/>
        <w:gridCol w:w="146"/>
        <w:gridCol w:w="82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fiscal quarter, the aggregate market value of the Registrant's common stock held by non-affiliates was approximately $153.6</w:t>
      </w:r>
      <w:r>
        <w:rPr>
          <w:rFonts w:ascii="Times New Roman" w:hAnsi="Times New Roman"/>
          <w:color w:val="000000"/>
          <w:sz w:val="20"/>
        </w:rPr>
        <w:t xml:space="preserve"> </w:t>
      </w:r>
      <w:r>
        <w:rPr>
          <w:rFonts w:ascii="Times New Roman" w:hAnsi="Times New Roman"/>
          <w:color w:val="000000"/>
          <w:sz w:val="16"/>
        </w:rPr>
        <w:t>million based on the closing price for the Registrant's common stock of $4.13 on that date. Shares of common stock held by each executive, director, and their affiliated stockholders have been excluded from this calculation as such persons may be deemed to be affiliates. This determination of affiliate status is not necessarily a conclusive determination for other purposes.</w:t>
      </w:r>
    </w:p>
    <w:p>
      <w:pPr>
        <w:pStyle w:val="TextBody"/>
        <w:bidi w:val="0"/>
        <w:spacing w:before="60" w:after="283"/>
        <w:jc w:val="left"/>
        <w:rPr>
          <w:rFonts w:ascii="Times New Roman" w:hAnsi="Times New Roman"/>
          <w:sz w:val="20"/>
        </w:rPr>
      </w:pPr>
      <w:r>
        <w:rPr>
          <w:rFonts w:ascii="Times New Roman" w:hAnsi="Times New Roman"/>
          <w:color w:val="000000"/>
          <w:sz w:val="16"/>
        </w:rPr>
        <w:t>The number of shares of the Registrant’s Common Stock outstanding</w:t>
      </w:r>
      <w:r>
        <w:rPr>
          <w:rFonts w:ascii="Times New Roman" w:hAnsi="Times New Roman"/>
          <w:color w:val="000000"/>
          <w:sz w:val="20"/>
        </w:rPr>
        <w:t xml:space="preserve"> </w:t>
      </w:r>
      <w:r>
        <w:rPr>
          <w:rFonts w:ascii="Times New Roman" w:hAnsi="Times New Roman"/>
          <w:color w:val="000000"/>
          <w:sz w:val="16"/>
        </w:rPr>
        <w:t>as of February 26, 2026 was 54,005,984.</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its 2026 Annual Meeting of Stockholders to be filed with the SEC within 120 days after the end of the fiscal year ended December 31, 2025 are incorporated herein by reference in Part III of this Annual Report on Form 10-K.</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9"/>
        <w:gridCol w:w="8672"/>
        <w:gridCol w:w="604"/>
      </w:tblGrid>
      <w:tr>
        <w:trPr/>
        <w:tc>
          <w:tcPr>
            <w:tcW w:w="929" w:type="dxa"/>
            <w:tcBorders/>
            <w:vAlign w:val="center"/>
          </w:tcPr>
          <w:p>
            <w:pPr>
              <w:pStyle w:val="TableContents"/>
              <w:bidi w:val="0"/>
              <w:spacing w:before="0" w:after="283"/>
              <w:jc w:val="left"/>
              <w:rPr>
                <w:sz w:val="4"/>
                <w:szCs w:val="4"/>
              </w:rPr>
            </w:pPr>
            <w:r>
              <w:rPr>
                <w:sz w:val="4"/>
                <w:szCs w:val="4"/>
              </w:rPr>
            </w:r>
          </w:p>
        </w:tc>
        <w:tc>
          <w:tcPr>
            <w:tcW w:w="867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Special Note Regarding Forward-Looking Statements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24</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hyperlink w:anchor="item_1c_cybersecurity">
              <w:r>
                <w:rPr>
                  <w:rStyle w:val="InternetLink"/>
                  <w:rFonts w:ascii="Times New Roman" w:hAnsi="Times New Roman"/>
                  <w:color w:val="0000FF"/>
                  <w:sz w:val="20"/>
                </w:rPr>
                <w:t xml:space="preserve"> </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 xml:space="preserve">Item 6. </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c_foreign_jurisdictio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Unless the context otherwise requires, references in this Annual Report on Form 10-K to the “Company,” “Sight Sciences,” “we,” “us” and “our” refer to Sight Sciences,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Annual Report on Form 10-K for the fiscal year ended December 31, 2025 (this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Interventional Glaucoma products and establish broad reimbursement for our Interventional Dry Eye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manage and grow our business by maintaining and expanding our sales to existing customers or introducing our products to new customers;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estimates of our total addressable market, future revenue, expenses, capital requirements, and our needs for additional financing;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compliance with, and retain favorable payment terms under, our current secured credit facility;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abilities to protect and scale our intellectual property portfolio and to prosecute intellectual property litigation to a successful conclusion;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financing in future offerings;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enter and compete in new markets;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of 2012;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 this Annual Report on Form 10-K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includes statistical and other industry and market data that we obtained from industry publications and research, surveys, and studies conducted by third parties as well as our own estimates. All of the market data used in this Annual Report on Form 10-K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240" w:after="360"/>
        <w:jc w:val="both"/>
        <w:rPr>
          <w:rFonts w:ascii="Times New Roman" w:hAnsi="Times New Roman"/>
          <w:color w:val="000000"/>
          <w:sz w:val="20"/>
        </w:rPr>
      </w:pPr>
      <w:r>
        <w:rPr>
          <w:rFonts w:ascii="Times New Roman" w:hAnsi="Times New Roman"/>
          <w:color w:val="000000"/>
          <w:sz w:val="20"/>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0" w:after="120"/>
        <w:jc w:val="center"/>
        <w:rPr>
          <w:rFonts w:ascii="Times New Roman" w:hAnsi="Times New Roman"/>
          <w:sz w:val="20"/>
        </w:rPr>
      </w:pPr>
      <w:bookmarkStart w:id="3" w:name="summary_of_risk_factors"/>
      <w:bookmarkEnd w:id="3"/>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on Form 10-K. You should carefully consider these risks and uncertainties before investing in our common stock. We believe the principal risks and uncertainties affecting our business include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an early-stage company with a history of significant losses, we expect to incur losses in the future, and we may not be able to achieve or sustain profitability, which may make it difficult to evaluate the success of our business to date and to assess prospects for our future viability;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highly dependent on revenue from the sales of our products, and our inability to successfully execute our growth strategy could negatively affect our results of operations and financial condition;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is dependent upon the broad adoption and continued use of our products by eyecare professionals and patients;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be able to secure or maintain adequate levels of third-party coverage and reimbursement for procedures in which our Interventional Glaucoma or Interventional Dry Eye products are used, and third parties may rescind or modify their coverage or delay payments related to these products, which would adversely affect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for our products is highly competitive and could grow increasingly competitive as new glaucoma and dry eye technologies are introduced in our industry. Our competitors may have longer operating histories, more established products and distribution networks, lower product prices or greater resources than we do, and may be able to develop or market products that are safer, more effective or gain greater acceptance in the marketplace than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Adoption of our products depends upon appropriate physician training, practice and patient selection;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Development of our products for expanded indications depends upon positive clinical data, and applicable regulatory authorities may determine that the safety and efficacy of our products for the intended uses for which we intend to seek clearance, certification or approval are not yet supported by sufficient long-term clinical data. Any such determinations could delay or prevent clearance by the FDA (or other foreign authorities or notified bodies) or limit sales, and our products might prove to be less safe or effective than initially thought;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third parties to manufacture and supply our products. A number of these suppliers are single-source providers, and certain key suppliers are located outside of the U.S. We are subject to numerous risks relating to our reliance on such third parties, including the impact of tariffs on products imported from China;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Uncertainty in current global economic and political conditions could adversely affect our ability to predict product demand and costs and impact our financial results, and makes it more likely that our results will differ materially from expectations;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provide inadequate training, fail to maintain effective sales and marketing capabilities or fail to develop broad brand awareness in a cost-effective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limited experience in training ophthalmologists and optometrists (together, "eyecare professionals" or "ECPs") on, and marketing and selling, our TearCare products, which could adversely affect customer perceptions and adoption of our TearCare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 which could adversely impact our results of operations and our growth expectations;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results of operations could be materially harmed if we are unable to accurately forecast customer demand for our products and manage our inventory;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long-term growth depends on our ability to continue to capture market share, enhance our products, maintain appropriate product reimbursement, expand our indications and develop and commercialize additional products in a timely manner. If we fail to identify, acquire and develop other products, we may be unable to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international operations expose us to market, legal, regulatory, political, operational, financial and economic risks associated with doing business outside of the United States;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Our success will depend on our, and our licensors’,</w:t>
      </w:r>
      <w:r>
        <w:rPr>
          <w:color w:val="000000"/>
        </w:rPr>
        <w:t xml:space="preserve"> </w:t>
      </w:r>
      <w:r>
        <w:rPr>
          <w:rFonts w:ascii="Times New Roman" w:hAnsi="Times New Roman"/>
          <w:color w:val="000000"/>
          <w:sz w:val="20"/>
        </w:rPr>
        <w:t>ability to obtain, maintain and protect our intellectual property rights;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party to, and may in the future become a party to, intellectual property litigation or administrative proceedings that can be costly, time-consuming, unsuccessful, and could interfere with our ability to sell and market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products, business practices, and operations are subject to extensive government regulation and oversight in the United States and elsewhere;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receive, or may be delayed in receiving, necessary clearances, certifications or approvals for our future products or modifications to our current products, and failure to timely obtain and retain such clearances, certifications or approvals would adversely affect our ability to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price of our common stock may fluctuate substantially or may decline regardless of our operating performance and you could lose all or part of your investment;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120"/>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Overview</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mission is to develop transformative, interventional technologies that allow eyecare providers to procedurally elevate the standards of care – empowering people to keep seeing. We are passionate about improving patients’ lives by helping them to preserve their sight. Our business philosophy is grounded in the following principles: comprehensively understanding disease physiology; developing transformative technologies that are intended to preserve, protect, and restore natural physiological functionality to diseased eyes; developing and marketing products with proven clinical evidence that achieve superior effectiveness versus current treatment paradigms while minimizing complications or side effects; providing intuitive, patient-friendly, interventional solutions to eye care professionals ("ECPs");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technologies may be used in procedures which supplant conventional outdated approaches.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have focused our initial product development efforts on the treatment of two of the world’s most prevalent and underserved eye diseases: glaucoma and dry eye disease ("DED"). We estimate the annual addressable U.S. market opportunity for the products in our interventional glaucoma ("Interventional Glaucoma") segment is approximately $6.0 billion with approximately $1.0 billion in the combination cataract procedure market (the “Combination Cataract Market”), and $5.0 billion in the standalone procedure market (the “Standalone Market”). The U.S. market for dry eye treatments was $2.4 billion in 2025. The Combination Cataract Market is associated with procedures performed on patients with primary open-angle glaucoma ("POAG") in combination with a cataract procedure (“Combination Cataract Procedures”). The Standalone Market is associated with procedures performed on POAG patients without concomitant cataract surgery (“Standalone Procedures”), thus coming to the operating room solely due to their glaucoma condition.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have taken a deeper look at the care continuum in the evolving microinvasive glaucoma surgery (“MIGS”) landscape and narrowed the specific patient population for whom Standalone Procedures have a compelling value proposition due to the comprehensive nature of the procedure and its ability to address all three areas of resistance in the drainage pathway. The pseudophakic standalone patient segment consists of patients three or more years out from prior cataract surgery, who may have had a MIGS procedure at the time of cataract surgery, but whose intraocular pressure (“IOP”) is not well controlled on two or more medications. These later-stage patients are at risk of disease progression, and we believe many will require an invasive and complicated procedure, such as a trabeculectomy or a shunt. However, we believe that standalone intervention can be effectively utilized for these patients, thus potentially delaying or avoiding the need for these riskier advanced procedures, improving patient care.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Glaucoma, which refers to a group of chronic, often asymptomatic, diseases that damage the optic nerve, is the world’s leading cause of irreversible blindness. Glaucoma does not have a cure and is a progressive disease; if left untreated or insufficiently treated, glaucoma can lead to irreversible disability and blindness. An estimated 133 million people worldwide suffer from glaucoma. POAG is the most prevalent form of glaucoma and affects almost 84 million people worldwide. We estimate there are approximately 4 million people in the United States with POAG. One of the greatest risk factors for POAG, and the only risk factor that can be controlled, is elevated IOP. Elevated IOP is often caused by malfunctioning drainage pathways in the eye that provide abnormal resistance to the outflow of aqueous humor, which is a clear, watery fluid that bathes and nourishes the lens and maintains pressure within the eye.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MIGS procedures, which can be used to treat patients with glaucoma, have a strong demonstrated safety profile, characterized by minimal trauma to the eye and quick patient recovery times. We currently offer two commercial technologies in our Interventional Glaucoma segment, our OMNI® Surgical System (“OMNI”) and our SION® Surgical Instrument (“SION”), both of which enable MIGS procedures. OMNI is a handheld, single use, therapeutic technology that enables ophthalmic surgeons to perform a comprehensive procedure to reduce IOP in adult patients with POAG. SION is a bladeless, manually operated device used in ophthalmic surgical procedures to excise trabecular meshwork, which is the tissue located near the cornea through which aqueous humor flows out of the eye.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Our goal is to establish OMNI and SION as standards of care for our customers and patients by continuing to grow their adoption and utilization in the existing Combination Cataract Market, which we believe remains underpenetrated. In addition, we believe training ophthalmic surgeons to use OMNI will help us to expand the Standalone Market (which we currently estimate at over 85% of the potential U.S. POAG market). We believe the consistent therapeutic outcomes OMNI delivers are important for patients and surgeons alike, especially those considering a Standalone Procedure.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primarily sell OMNI and SION in the U.S. through our dedicated Interventional Glaucoma sales team. Our commercial strategy for OMNI centers on building confidence and conviction among the glaucoma community in OMNI through continued awareness of and education on our clinical trial results and publication of these results in peer-reviewed journals demonstrating the safety and efficacy of OMNI. Coverage is available for the procedure enabled by OMNI, canaloplasty followed by trabeculotomy (ab interno), in all Medicare Administrative Contractor ("MAC") jurisdictions and under numerous private insurers’ plans. With advantages that have been observed to achieve safe, effective and highly consistent clinical outcomes, we believe OMNI has the potential to benefit patients by establishing a more proactive, interventional paradigm for IOP reduction in POAG. We have established direct commercial operations in the United States, United Kingdom, and Germany, and sell OMNI in other countries in Europe through distributors.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Dry eye disease is caused by aqueous deficiency or evaporative dry eye and is a subset of ocular surface disease. The primary cause of evaporative DED is meibomian gland disease ("MGD"), which is characterized by low quality tears that evaporate prematurely. Dry eye complaints are the most common reason for a patient visit to an eye doctor. Yet, of the estimated 39 million people with DED signs and symptoms in the U.S., only an estimated 19 million have been diagnosed with DED. Dry eye symptoms have a significant impact on the quality of life and productivity of patients suffering from DED. If left untreated, DED can be extremely painful, often leading to permanent cornea damage and vision impairment. Evaporative dry eye resulting from MGD may be associated with up to 86% of all DED cases. Approximately 50% of DED patients are considered moderate to severe.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the MGD market requires additional ECP and patient education, including clinical data to differentiate procedural and product alternatives, and enhanced patient access through the development of reimbursement coverage. In our interventional dry eye ("Interventional Dry Eye") segment, our commercial product line currently consists of our TearCare system. The TearCare system is a proprietary, interventional, dry eye device designed to melt and facilitate the comprehensive removal of meibomian gland obstructions and improve gland functionality and healthy oil production. We believe TearCare has a compelling physiological profile to address gland obstructions caused by MGD. Our goals with the development of TearCare are to (i) fully transform the current outdated treatment paradigm based primarily on over-the-counter (“OTC”) and prescription eyedrops, both of which do not address obstruction of the meibomian glands, the primary root cause of MGD, and (ii) establish use of TearCare as the standard of care for the millions of patients suffering from evaporative DED caused by MGD.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primarily sell TearCare in the U.S. through our dedicated Interventional Dry Eye sales team. The TearCare System consists of a TearCare SmartHub (“SmartHub”), a reusable hardware controller, TearCare SmartLids® ("SmartLids”), which are disposable therapeutic eyelid devices used for TearCare patient therapy sessions (one pair of SmartLids provides bilateral therapy, or four eyelids treated), and TearCare accessories (Clearance Assistant and wipes). Our commercial strategy for TearCare has been to drive awareness and adoption of the TearCare procedure by ECPs while simultaneously seeking to lay the foundation for equitable coverage and reimbursement through the generation of compelling clinical data and conduct of a targeted coding, coverage and reimbursement initiative.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focus on continuous innovation and regularly seek input from our network of expert employees (including ophthalmologists on staff), advisors and customers to rapidly iterate our pre- and post-commercial product designs with the aim of better satisfying the needs of our customers and their patients and increasing adoption and utilization of our solutions. </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Our Solutions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have designed our OMNI, SION, and TearCare products to be interventional ophthalmology technologies. We believe both glaucoma and DED are significantly underserved by current treatment offerings and there are large market opportunities for effective solutions that preserve, protect, and restore the natural physiological functionality of diseased eyes.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Our Product Development Approach</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development of OMNI, SION, and TearCare follows our internal product development approach, which is governed by the following fundamental principles that we believe are critical to delivering the most effective, safe and consistent outcomes for patients with eye disease.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Comprehensive Understanding of Disease Physiology</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Treating Underlying Causes with an Interventional Mindset</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Intuitive Design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Strong Clinical Evidence Demonstrating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Patient Access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Economic Value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aim and expect to be a clinical leader in every eyecare segment we enter, and we seek to achieve all criteria in our product development projects. From device ideation to commercialization, we take into consideration the perspectives of patients, providers and third-party payors throughout our product development process. When possible, we seek to streamline our product commercialization process by designing our products to achieve the most efficient routes for U.S. Food and Drug Administration ("FDA") clearance or authorization for each applicable indication and reimbursement coverage by third-party payors.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OMNI Surgical System</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Our OMNI technology enables an ophthalmic surgeon to perform a MIGS procedure that addresses all three known areas of resistance in the conventional outflow pathway of the eye: the trabecular meshwork, Schlemm's canal, and the distal collector channels. OMNI is indicated for </w:t>
      </w:r>
      <w:r>
        <w:rPr>
          <w:rFonts w:ascii="Times New Roman" w:hAnsi="Times New Roman"/>
          <w:color w:val="000000"/>
          <w:sz w:val="20"/>
        </w:rPr>
        <w:t xml:space="preserve">canaloplasty followed by trabeculotomy to reduce IOP in adult POAG patients. This indication encompasses the use of OMNI both by itself for Standalone Procedures and for Combination Cataract Procedures. </w:t>
      </w:r>
      <w:r>
        <w:rPr>
          <w:rFonts w:ascii="Times New Roman" w:hAnsi="Times New Roman"/>
          <w:color w:val="231F20"/>
          <w:sz w:val="20"/>
        </w:rPr>
        <w:t>OMNI has received clearance under Section 510(k) of the Federal Food, Drug, and Cosmetic Act (“FDCA”) from the FDA and a European Conformity (“CE”) mark to be marketed in the U.S. and the European Union ("EU") respectively, for canaloplasty followed by trabeculotomy to reduce IOP in adult patients with POAG in the U.S. or with open-angle glaucoma ("OAG") in the EU.</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procedure performed with our OMNI technology is designed to enable surgeons to perform sequential comprehensive outflow treatments that they can customize based on an individual patient’s disease severity to restore the eye’s natural drainage system without compromising the structural integrity of the eye or leaving implants behind post-surgery. We believe OMNI delivers high level of effectiveness as it provides access to 360 degrees of the diseased conventional outflow pathway through a clear corneal incision to treat all three known areas of resistance in the conventional outflow pathway of the eye.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SION Surgical Instrument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SION Surgical Instrument is a manually operated device used in ophthalmic surgical procedures to excise trabecular meshwork. SION’s bladeless design, micro-engineered and precision manufactured using specialized lasers, excises tissue without cutting. The bladeless technology of SION was developed with leading ophthalmic surgeons to improve safety and ease of use by eliminating the need to navigate sharp instrumentation within the eye’s anterior chamber and iridocorneal angle anatomy. We believe SION represents our third consecutive best-in-category device and satisfies the American Academy of Ophthalmology's definition of goniotomy. SION is registered with the FDA as a Class I 510(k) exempt device.</w:t>
      </w:r>
    </w:p>
    <w:p>
      <w:pPr>
        <w:pStyle w:val="TextBody"/>
        <w:bidi w:val="0"/>
        <w:spacing w:before="0" w:after="120"/>
        <w:jc w:val="both"/>
        <w:rPr>
          <w:rFonts w:ascii="Times New Roman" w:hAnsi="Times New Roman"/>
          <w:sz w:val="20"/>
        </w:rPr>
      </w:pPr>
      <w:r>
        <w:rPr>
          <w:rFonts w:ascii="Times New Roman" w:hAnsi="Times New Roman"/>
          <w:color w:val="231F20"/>
          <w:sz w:val="20"/>
        </w:rPr>
        <w:t>SION allows us to serve specific subsets of customers who may prioritize a faster or simpler procedure. Our target customers for SION include three types of combination cataract MIGS surgeons that are distinct from target OMNI customers: (i) high volume cataract surgeons seeking to perform the quickest MIGS procedures, (ii) surgeons who are initially less experienced with MIGS such as surgical fellows at academic institutions and (iii) surgeons looking for lower-priced, less comprehensive MIGS alternatives. We believe these use-cases have little overlap with the use cases for our OMNI device.</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TearCare System</w:t>
      </w:r>
    </w:p>
    <w:p>
      <w:pPr>
        <w:pStyle w:val="TextBody"/>
        <w:bidi w:val="0"/>
        <w:spacing w:before="0" w:after="120"/>
        <w:jc w:val="both"/>
        <w:rPr>
          <w:rFonts w:ascii="Times New Roman" w:hAnsi="Times New Roman"/>
          <w:sz w:val="20"/>
        </w:rPr>
      </w:pPr>
      <w:r>
        <w:rPr>
          <w:rFonts w:ascii="Times New Roman" w:hAnsi="Times New Roman"/>
          <w:color w:val="231F20"/>
          <w:sz w:val="20"/>
        </w:rPr>
        <w:t>In an effort to address the treatment of evaporative DED due to MGD, we designed TearCare to facilitate what we believe is the optimal method for clearing meibomian gland obstructions based on numerous clinical studies. The goal of TearCare therapy is to restore the eyelid’s natural ability to produce healthy lipid secretions and recover the integrity of the tear film. We developed TearCare to serve as an elegant, compact, portable, and intuitive solution comprised of the SmartHub</w:t>
      </w:r>
      <w:r>
        <w:rPr>
          <w:rFonts w:ascii="Times New Roman" w:hAnsi="Times New Roman"/>
          <w:color w:val="000000"/>
          <w:sz w:val="20"/>
        </w:rPr>
        <w:t> ("SmartHub")</w:t>
      </w:r>
      <w:r>
        <w:rPr>
          <w:rFonts w:ascii="Times New Roman" w:hAnsi="Times New Roman"/>
          <w:color w:val="231F20"/>
          <w:sz w:val="20"/>
        </w:rPr>
        <w:t>, a reusable hardware controller, and the TearCare SmartLids</w:t>
      </w:r>
      <w:r>
        <w:rPr>
          <w:rFonts w:ascii="Times New Roman" w:hAnsi="Times New Roman"/>
          <w:color w:val="000000"/>
          <w:sz w:val="20"/>
        </w:rPr>
        <w:t>® ("SmartLids")</w:t>
      </w:r>
      <w:r>
        <w:rPr>
          <w:rFonts w:ascii="Times New Roman" w:hAnsi="Times New Roman"/>
          <w:color w:val="231F20"/>
          <w:sz w:val="20"/>
        </w:rPr>
        <w:t xml:space="preserve">, a breakthrough, software-controlled, wearable, therapeutic eyelid technology.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proprietary, thin, flexible, wearable, and open-eye design of our SmartLids (a) ensures a conformant fit for every patient and thereby ensures the reproducible delivery of thermal energy into the meibomian glands to achieve the requisite gland obstruction melting temperature across different eyelid anatomies, (b) allows patients to blink naturally throughout the thermal portion of the procedure, which initiates the natural movement and expression of melted gland obstructions from the diseased meibomian glands, and (c) provides a comfortable, open eye patient experience in the eye care provider’s office. Engineering SmartLids to remain comfortably adhered to virtually all shapes and sizes of eyelids while allowing freedom to blink and delivering precisely controlled, therapeutic levels of thermal energy is one of our most significant design accomplishments.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TearCare is FDA cleared for the application of localized heat therapy in adult patients with evaporative DED due to MGD, when used in conjunction with manual expression of the meibomian glands.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Our Success Factors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mission is to develop transformative, interventional technologies that allow eyecare providers to procedurally elevate the standards of care—empowering people to keep seeing. We design our products to enable ECPs to perform safe and effective interventional procedures that can transform treatment paradigms. We believe the following factors have contributed to our success and will continue to drive our growth:</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Large market opportunities in eyecare with sub-optimal treatment paradigms;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Continual development of transformative technologies to preserve, protect, and restore natural eye function;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Consistent delivery of exceptional customer experience;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Prioritization of clinical and commercial excellence and market education;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Focus on compelling economics and value creation for all eyecare stakeholders;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Scaling our team based on our core behaviors: love what you do, have each other's back, own it, break through walls, and grow every day.</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Our Growth Strategy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fundamental objectives of our growth strategy are to establish robust clinical data to support the development of our target markets and the continued commercialization of our products and to deliver an exceptional customer experience to the ECPs and patients who utilize our products. Our current growth strategies include: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Increasing patient access to the TearCare procedure by leveraging the SAHARA and OLYMPIA trials, and our TearCare budget impact and cost utility analyses, to establish and expand appropriate reimbursement and coverage by governmental and commercial payors;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Expanding our interventional dry eye commercialization infrastructure and customer engagements to increase utilization of TearCare and establish TearCare as the standard of care for reimbursed interventional dry eye procedural treatment among ECPs;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Establishing OMNI and SION as the standards of care for interventional glaucoma treatment among MIGS-trained surgeons;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Developing and expanding the Standalone Market with OMNI, with a focus on pseudophakic patients whose IOP is not well controlled on two or more medications and who are at risk of disease progression;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Obtaining and maintaining appropriate reimbursement and coverage by governmental and commercial payors for procedures performed with our Interventional Glaucoma technologies;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Driving adoption and utilization of our products by leveraging additional clinical trials and market education;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Continuing to create transformational and innovative interventional eyecare technology;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Developing our existing international markets.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Clinical Data</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treatment decisions should be evidence-based and hold ourselves to the highest clinical and ethical standards. We are deeply committed to conducting studies to evaluate the safety, effectiveness and durability of treatments using our products, and subjecting the results to the rigorous peer review process for publication in leading journals. Our robust and growing libraries of evidence to support OMNI, SION and TearCare are helping to drive their awareness and adoption and ultimately advancing patient care in ophthalmology and optometry.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are currently conducting active and robust clinical trial programs in both POAG and MGD. Our clinical trial designs include both randomized controlled trials ("RCTs"), prospective, and retrospective real-world studies, based on our belief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that each of these approaches has unique strengths. We also plan to continue supporting our investigator-initiated trial program.</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Interventional Glaucoma - Clinical Program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Building on a solid foundation of completed and ongoing clinical trials, we have invested significant resources to further develop clinical data regarding the use of OMNI. Since 2018, there have been 34 articles published in peer-reviewed journals for OMNI and its Sight Sciences predicate devices and procedures. Our completed trials include ROMEO, ROMEO 2, GEMINI, GEMINI 2, ORION 2, and TREY. </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 xml:space="preserve">ROMEO was used to support OMNI’s indication for use expansion in the U.S. in March 2021 and resulted in three published articles in peer-reviewed journals.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ROMEO 2 replicated the results of ROMEO in a larger study population and provided longer-term (24 month) outcomes for original ROMEO subjects.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GEMINI was a prospective, multi-center, historical control, single-arm, U.S. study.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GEMINI 2 provided 36-month follow-up for GEMINI subjects.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TREY was a multi-center study evaluating the effectiveness of Standalone Procedure intervention using OMNI in eyes with uncontrolled IOP previously treated with trabecular bypass canal implants.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ORION 2 was a prospective, multicenter study with 24-month outcomes for standalone patients.</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Moreover, there have been three large real-world evidence studies utilizing the American Academy of Ophthalmology’s IRIS® Registry. The first is a 24-month outcome study of leading FDA-cleared or FDA-approved MIGS (OMNI, iStent inject, Hydrus®) used in conjunction with cataract surgery versus cataract surgery alone; the second is an evaluation of 36-month outcomes for OMNI used as a standalone procedure; and the third reports outcomes for leading FDA-cleared or FDA-approved MIGS used in conjunction with cataract surgery, and cataract surgery alone, in African American patients. All have been published in peer-reviewed journals.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36-month real-world study which was published in December 2024 evaluated 230 eyes of 196 patients with POAG over a period of up to three years. The results for OMNI demonstrated clinically and statistically significant reductions in IOP through up to 36 months postoperatively, with mean reductions ranging from 5.6 to 7.1 mmHg. The study also reports a statistically significant decrease in medication use through 18 months. Subgroup analysis showed even greater IOP reductions (up to 8.9 mmHg) in patients with baseline IOP greater than 18 mmHg. Eyes with lower baseline IOP (&lt;18 mmHg) had reductions in medication use through 36 months, and eyes with higher baseline IOP (&gt;18 mmHg) had statistically significant reductions in IOP and reductions in medication use through 36 months.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volume of published evidence for OMNI has resulted in two separate industry groups conducting systematic reviews and meta-analyses, both published in 2025. A systematic review and meta-analysis is a high-level research method that rigorously identifies, appraises, and synthesizes all available studies on a specific topic. These analyses concluded that “OMNI consistently reduced IOP and concomitant medication use with sustained effects over 24-36 months, and has a favorable safety profile, thus supporting its use in patients with OAG.”, and “the OMNI Surgical System is an effective standalone procedure for canaloplasty and trabeculotomy in OAG patients and led to a significant reduction in IOP at multiple timepoints and medication burden.” Such conclusion were published in respected peer-reviewed journals, the European Journal of Ophthalmology, and the Journal of Glaucoma, respectively.</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Table 1: Ongoing and Planned Clinical Studies</w:t>
      </w:r>
    </w:p>
    <w:tbl>
      <w:tblPr>
        <w:tblW w:w="10205" w:type="dxa"/>
        <w:jc w:val="left"/>
        <w:tblInd w:w="0" w:type="dxa"/>
        <w:tblLayout w:type="fixed"/>
        <w:tblCellMar>
          <w:top w:w="28" w:type="dxa"/>
          <w:left w:w="28" w:type="dxa"/>
          <w:bottom w:w="28" w:type="dxa"/>
          <w:right w:w="28" w:type="dxa"/>
        </w:tblCellMar>
      </w:tblPr>
      <w:tblGrid>
        <w:gridCol w:w="1395"/>
        <w:gridCol w:w="8810"/>
      </w:tblGrid>
      <w:tr>
        <w:trPr/>
        <w:tc>
          <w:tcPr>
            <w:tcW w:w="1395"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r>
      <w:tr>
        <w:trPr/>
        <w:tc>
          <w:tcPr>
            <w:tcW w:w="139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881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139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First in Human for Helix</w:t>
            </w:r>
          </w:p>
        </w:tc>
        <w:tc>
          <w:tcPr>
            <w:tcW w:w="881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NCT06948773: To assess the safety of the Helix Surgical System in cataract surgery and to gain early evidence of its effectiveness in lowering intraocular pressure (IOP) in subjects with mild to moderate primary open-angle glaucoma (POAG) and cataracts </w:t>
            </w:r>
          </w:p>
        </w:tc>
      </w:tr>
      <w:tr>
        <w:trPr/>
        <w:tc>
          <w:tcPr>
            <w:tcW w:w="139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First in Human for OMNI 3.0</w:t>
            </w:r>
          </w:p>
        </w:tc>
        <w:tc>
          <w:tcPr>
            <w:tcW w:w="881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NCT06991270: To gain early evidence of safety and assess the effectiveness of the intraocular pressure (IOP)-lowering effectiveness of the OMNI 3.0 Surgical System in primary open-angle glaucoma (POAG)</w:t>
            </w:r>
          </w:p>
        </w:tc>
      </w:tr>
    </w:tbl>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231F20"/>
          <w:sz w:val="20"/>
        </w:rPr>
      </w:pPr>
      <w:r>
        <w:rPr>
          <w:rFonts w:ascii="Times New Roman" w:hAnsi="Times New Roman"/>
          <w:b/>
          <w:i/>
          <w:color w:val="231F20"/>
          <w:sz w:val="20"/>
        </w:rPr>
        <w:t>Interventional Dry Eye - Clinical Program</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We have developed robust clinical data evaluating TearCare. Our first RCT for TearCare ("OLYMPIA") was completed in 2021 and data from OLYMPIA supported the FDA clearance of TearCare’s expanded indication for use in December 2021. The second RCT for TearCare (“SAHARA”) has completed three phases. Phase 1 of the SAHARA RCT (showing superiority or equivalence over Restasis® cyclosporine drops with respect to study endpoints) was published in December 2023 in </w:t>
      </w:r>
      <w:r>
        <w:rPr>
          <w:rFonts w:ascii="Times New Roman" w:hAnsi="Times New Roman"/>
          <w:i/>
          <w:color w:val="231F20"/>
          <w:sz w:val="20"/>
        </w:rPr>
        <w:t>Clinical Ophthalmology</w:t>
      </w:r>
      <w:r>
        <w:rPr>
          <w:rFonts w:ascii="Times New Roman" w:hAnsi="Times New Roman"/>
          <w:color w:val="231F20"/>
          <w:sz w:val="20"/>
        </w:rPr>
        <w:t xml:space="preserve">. Phase 2 results from SAHARA (cross-over of Restasis® subjects to a single TearCare treatment) were published in May 2024 in </w:t>
      </w:r>
      <w:r>
        <w:rPr>
          <w:rFonts w:ascii="Times New Roman" w:hAnsi="Times New Roman"/>
          <w:i/>
          <w:color w:val="231F20"/>
          <w:sz w:val="20"/>
        </w:rPr>
        <w:t>Clinical Ophthalmology</w:t>
      </w:r>
      <w:r>
        <w:rPr>
          <w:rFonts w:ascii="Times New Roman" w:hAnsi="Times New Roman"/>
          <w:color w:val="231F20"/>
          <w:sz w:val="20"/>
        </w:rPr>
        <w:t>. Phase 3 results from SAHARA (evaluation of duration of TearCare treatment effect) were published in August 2025 in Optometry and Vision Science. We plan to leverage the results of our OLYMPIA and SAHARA studies to support FDA clearances to further expand indications for use of TearCare and to support our market access strategy.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OLYMPIA, our large multi-center RCT, the TearCare procedure was associated with statistically significant clinical improvements in all assessed signs and symptoms of DED. This included tear breakup time ("TBUT") and meibomian gland secretion score ("MGSS"), objective measurements of DED that were the trial’s primary endpoints, as well as patient-reported symptoms surveys, including Eye Dryness Score ("EDS"), ocular surface disease index ("OSDI"), and symptom assessment in dry eye ("SANDE"), at all time periods measured (both two weeks and four weeks post-treatment). </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In September 2021, an article discussing results from our OLYMPIA RCT was published in </w:t>
      </w:r>
      <w:r>
        <w:rPr>
          <w:rFonts w:ascii="Times New Roman" w:hAnsi="Times New Roman"/>
          <w:i/>
          <w:color w:val="231F20"/>
          <w:sz w:val="20"/>
        </w:rPr>
        <w:t>Cornea</w:t>
      </w:r>
      <w:r>
        <w:rPr>
          <w:rFonts w:ascii="Times New Roman" w:hAnsi="Times New Roman"/>
          <w:color w:val="231F20"/>
          <w:sz w:val="20"/>
        </w:rPr>
        <w:t xml:space="preserve">. In August 2022, a subset analysis of patients in the OLYMPIA trial with advanced DED demonstrating superior symptoms improvements with TearCare compared to an alternative MGD treatment device was published in </w:t>
      </w:r>
      <w:r>
        <w:rPr>
          <w:rFonts w:ascii="Times New Roman" w:hAnsi="Times New Roman"/>
          <w:i/>
          <w:color w:val="231F20"/>
          <w:sz w:val="20"/>
        </w:rPr>
        <w:t>Clinical Ophthalmology</w:t>
      </w:r>
      <w:r>
        <w:rPr>
          <w:rFonts w:ascii="Times New Roman" w:hAnsi="Times New Roman"/>
          <w:color w:val="231F20"/>
          <w:sz w:val="20"/>
        </w:rPr>
        <w:t xml:space="preserve">. Additionally, results from the CHEETAH study suggesting that a single TearCare procedure is safe and effective in treatment signs and symptoms of DED were published in </w:t>
      </w:r>
      <w:r>
        <w:rPr>
          <w:rFonts w:ascii="Times New Roman" w:hAnsi="Times New Roman"/>
          <w:i/>
          <w:color w:val="231F20"/>
          <w:sz w:val="20"/>
        </w:rPr>
        <w:t>Clinical Ophthalmology</w:t>
      </w:r>
      <w:r>
        <w:rPr>
          <w:rFonts w:ascii="Times New Roman" w:hAnsi="Times New Roman"/>
          <w:color w:val="231F20"/>
          <w:sz w:val="20"/>
        </w:rPr>
        <w:t xml:space="preserve"> (December 2020). </w:t>
      </w:r>
    </w:p>
    <w:p>
      <w:pPr>
        <w:pStyle w:val="TextBody"/>
        <w:bidi w:val="0"/>
        <w:spacing w:before="0" w:after="120"/>
        <w:jc w:val="both"/>
        <w:rPr>
          <w:rFonts w:ascii="Times New Roman" w:hAnsi="Times New Roman"/>
          <w:sz w:val="20"/>
        </w:rPr>
      </w:pPr>
      <w:r>
        <w:rPr>
          <w:rFonts w:ascii="Times New Roman" w:hAnsi="Times New Roman"/>
          <w:color w:val="231F20"/>
          <w:sz w:val="20"/>
        </w:rPr>
        <w:t>In Phase 1 of SAHARA, our large, multi-center RCT, the TearCare procedure was superior to Restasis® eyedrops in the improvement of TBUT, the primary objective and a key measure of aqueous retention, tear stability and the tear film’s ability to protect the ocular surface.</w:t>
      </w:r>
      <w:r>
        <w:rPr>
          <w:rFonts w:ascii="Times New Roman" w:hAnsi="Times New Roman"/>
          <w:color w:val="000000"/>
          <w:sz w:val="20"/>
        </w:rPr>
        <w:t xml:space="preserve"> T</w:t>
      </w:r>
      <w:r>
        <w:rPr>
          <w:rFonts w:ascii="Times New Roman" w:hAnsi="Times New Roman"/>
          <w:color w:val="231F20"/>
          <w:sz w:val="20"/>
        </w:rPr>
        <w:t>he SAHARA trial also observed that procedures enabled by TearCare were non-inferior to Restasis® eyedrops in OSDI, which was the co-primary six-month endpoint. Throughout the study, interventional eyelid procedures with TearCare demonstrated clinically and statistically significant improvements of every endpoint and at every measurement interval: one week, one month, three months, and six months. Endpoints assessed include TBUT, MGSS, corneal staining, and conjunctival staining.</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Phase 2 of the SAHARA trial, subjects in the Restasis® cohort ceased use of Restasis®, and received an interventional eyelid procedure with TearCare, and were monitored for another six months. Statistically significant improvements were observed in TBUT and MGSS at three and six months after the TearCare intervention and OSDI was numerically improved from the end of Restasis® treatment and remained clinically and statistically significantly better than the pre-study baseline.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Phase 3 of the SAHARA trial, subjects in the TearCare cohort received additional TearCare interventional eyelid procedures as necessary based on pre-determined criteria over an additional 18 months (24 months total study period) to measure the durability of procedural treatment effect. All mean signs and symptoms remained statistically significantly better than the study baseline at all time points measured through the end of the study at 24 months. The majority (66%) of participants who received treatment for dry eye disease (DED) with TearCare at baseline and again at Month 5 required no additional treatment based on pre-defined retreatment criteria. Phase 3 clinical results were published in August 2025.</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Table 2: Sight Sciences TearCare Ongoing Clinical Study</w:t>
      </w:r>
    </w:p>
    <w:tbl>
      <w:tblPr>
        <w:tblW w:w="10205" w:type="dxa"/>
        <w:jc w:val="left"/>
        <w:tblInd w:w="0" w:type="dxa"/>
        <w:tblLayout w:type="fixed"/>
        <w:tblCellMar>
          <w:top w:w="28" w:type="dxa"/>
          <w:left w:w="28" w:type="dxa"/>
          <w:bottom w:w="28" w:type="dxa"/>
          <w:right w:w="28" w:type="dxa"/>
        </w:tblCellMar>
      </w:tblPr>
      <w:tblGrid>
        <w:gridCol w:w="571"/>
        <w:gridCol w:w="9634"/>
      </w:tblGrid>
      <w:tr>
        <w:trPr/>
        <w:tc>
          <w:tcPr>
            <w:tcW w:w="571" w:type="dxa"/>
            <w:tcBorders/>
            <w:vAlign w:val="center"/>
          </w:tcPr>
          <w:p>
            <w:pPr>
              <w:pStyle w:val="TableContents"/>
              <w:bidi w:val="0"/>
              <w:spacing w:before="0" w:after="283"/>
              <w:jc w:val="left"/>
              <w:rPr>
                <w:sz w:val="4"/>
                <w:szCs w:val="4"/>
              </w:rPr>
            </w:pPr>
            <w:r>
              <w:rPr>
                <w:sz w:val="4"/>
                <w:szCs w:val="4"/>
              </w:rPr>
            </w:r>
          </w:p>
        </w:tc>
        <w:tc>
          <w:tcPr>
            <w:tcW w:w="9634" w:type="dxa"/>
            <w:tcBorders/>
            <w:vAlign w:val="center"/>
          </w:tcPr>
          <w:p>
            <w:pPr>
              <w:pStyle w:val="TableContents"/>
              <w:bidi w:val="0"/>
              <w:spacing w:before="0" w:after="283"/>
              <w:jc w:val="left"/>
              <w:rPr>
                <w:sz w:val="4"/>
                <w:szCs w:val="4"/>
              </w:rPr>
            </w:pPr>
            <w:r>
              <w:rPr>
                <w:sz w:val="4"/>
                <w:szCs w:val="4"/>
              </w:rPr>
            </w:r>
          </w:p>
        </w:tc>
      </w:tr>
      <w:tr>
        <w:trPr/>
        <w:tc>
          <w:tcPr>
            <w:tcW w:w="5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963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5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Xtend</w:t>
            </w:r>
          </w:p>
        </w:tc>
        <w:tc>
          <w:tcPr>
            <w:tcW w:w="96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NCT07365735: In this randomized study, TearCare procedures using the TearCare MGX System (study device) with the extended Warming hold feature will be compared with TearCare procedures using the TearCare MGX System without the Warming hold (control group).</w:t>
            </w:r>
          </w:p>
        </w:tc>
      </w:tr>
    </w:tbl>
    <w:p>
      <w:pPr>
        <w:pStyle w:val="TextBody"/>
        <w:bidi w:val="0"/>
        <w:spacing w:before="240" w:after="120"/>
        <w:jc w:val="left"/>
        <w:rPr>
          <w:rFonts w:ascii="Times New Roman" w:hAnsi="Times New Roman"/>
          <w:b/>
          <w:color w:val="231F20"/>
          <w:sz w:val="20"/>
        </w:rPr>
      </w:pPr>
      <w:r>
        <w:rPr>
          <w:rFonts w:ascii="Times New Roman" w:hAnsi="Times New Roman"/>
          <w:b/>
          <w:color w:val="231F20"/>
          <w:sz w:val="20"/>
        </w:rPr>
        <w:t>Commercial Approach</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have built a world-class direct sales commercial organization that features professionals and executives with substantial leadership experience from leading ophthalmic and medical technology companies. In particular, we have recruited professionals with track records that include launching new technologies, growing primary demand, changing treatment paradigms and securing market access from payors. We believe this expertise is crucial to achieve our market development objectives in our Interventional Glaucoma and Interventional Dry Eye businesses. Sales representatives typically have relevant experience across medical device and/or pharmaceutical sales focused on eyecare to ensure the development of a trusted consultative relationship with our ECPs and practice administrators. As we have developed our clinical data and brand recognition, we believe our team has differentiated our product offerings and gained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traction through exceptional, highly involved training, support and ongoing professional education. As of December 31, 2025, our overall commercial team consisted of over 100 professionals dedicated to sales, marketing, commercial support, training and professional relations. We also sell OMNI into select European countries through distributors, but maintain a direct sales force in our two largest European markets, Germany and the United Kingdom.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maintain distinct sales, marketing, and training teams to support our business segments because our products require specialized product-specific sales expertise and ECP training to integrate our products into their practices. We typically sell OMNI and SION to facilities where ophthalmic surgeons perform outpatient procedures, particularly ASCs and hospital outpatient departments ("HOPDs") and we sell TearCare to both optometry and ophthalmology practices.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marketing efforts are centered around increasing awareness of our products and presenting clinical study results through leading medical publications and at large industry and scientific meetings, both directly and through our advisors. We have also partnered with qualified ECPs to educate their peers on our behalf through educational forums. Clinical data that demonstrate the clinical benefits of OMNI and TearCare for their authorized uses will continue to underpin our commercial efforts and we intend to continue to devote significant resources to conduct new clinical studies and publish articles in peer-reviewed journals.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Seasonality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our sales may be impacted by seasonal factors. For example, in some years, we have experienced higher sales volumes in the second and fourth quarters versus the first and third quarters. Demand can be lower during summer months because of ECP vacations and in winter months in certain parts of the world because of fewer business or surgery days due to holidays and adverse weather conditions. Seasonality in future periods may also be impacted by reimbursement coverage, sales infrastructure, and consumer and physicians’ behaviors and confidence.</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Reimbursement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commercial activities are substantially within the United States. We sell our Interventional Glaucoma products primarily to ASCs and HOPDs, who in turn bill various third-party payors, such as Medicare and private health insurance plans for the healthcare services and resources rendered to treat a patient. We sell TearCare to ECPs. Our market access team helps facilitate patient access to the OMNI, SION and TearCare systems by engaging payors on coverage, coding and payment matters, and by providing support to patients and our customers as they seek reimbursement from payors that do not have positive coverage or those that do not have formal policies in place regarding our products.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Reimbursement for Uses of the OMNI Surgical System and SION Surgical Instrument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Surgeons are able to perform a comprehensive outflow procedure enabled by OMNI or a partial outflow procedure focused on the trabecular meshwork with SION.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Medicare coverage policies for MIGS procedures in five of the seven “MACs” jurisdictions, which became effective in November 2024, confirmed continued Medicare coverage for Combination Cataract Procedures (cataract surgery procedures performed with a single MIGS procedure), including both canaloplasty and goniotomy procedures. Medicare coverage of Combination Cataract Procedures involving non-implant MIGS procedures in the remaining two MACs is available outside of a formal coverage policy, as is Medicare coverage of Standalone Procedures performed using OMNI or SION. Widespread coverage is important for commercial adoption. Based on POAG prevalence, we estimate the majority of patients who receive treatment for POAG are covered by Medicare (fee-for-service and Medicare Advantage plans). Private payor coverage policies vary for procedures that may be performed with OMNI or SION technologies. For instance, in the United States, some commercial payors, including numerous Blue Cross Blue Shield plans, Cigna plans, and United plans, have published medical policies that consider canaloplasty medically necessary for the treatment of glaucoma, though specific criteria for coverage may vary depending on the payor.</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Additionally, as with many healthcare items and services, some health plans cover the procedures performed using OMNI and SION outside of a formal coverage policy. Where coverage is less consistent or is limited, as is the case with certain commercial payors, our market access team works with payors directly and with customers to facilitate patient access to our Interventional Glaucoma products by working towards securing appropriate coverage and reimbursement. We have established and continue to build a substantial library of clinical evidence and health economics outcomes research data and published articles to directly address the needs of payors.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Virtually all sales of OMNI and SION in the U.S. are to ASCs and HOPDs. Per Medicare and many private payor payment policies, when certain procedures are performed in the ASC setting on the same day, such as cataract surgery, canaloplasty and goniotomy, multiple procedure payment reduction rules apply. Therefore, when a canaloplasty or goniotomy is performed with cataract surgery on the same patient on the same day, payment of the lower-cost procedure (most commonly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the cataract procedure) is reduced by 50%. Multiple procedure payment reduction rules also typically apply to professional services. Physicians are likely to be paid at a reduced rate for lower valued procedures when performed concomitantly. In the HOPD setting, Medicare procedures performed using OMNI and SION as well as cataract procedures, are paid under comprehensive ambulatory payment classifications ("C-APCs"). In these circumstances, the highest valued code is paid at 100%, with payment for additional procedures performed during the same operative session bundled into the single highest payment rate. Many commercial payors use a similar payment methodology, but payment rules can vary across health plans, particularly across plan types (e.g., HMO, PPO, POS).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rates for procedures performed with our products vary depending on the code billed and the setting where the procedure is performed. The table below outlines the Medicare national unadjusted average payment rates for each in 2025 and 2026.</w:t>
      </w:r>
    </w:p>
    <w:tbl>
      <w:tblPr>
        <w:tblW w:w="8462" w:type="dxa"/>
        <w:jc w:val="left"/>
        <w:tblInd w:w="0" w:type="dxa"/>
        <w:tblLayout w:type="fixed"/>
        <w:tblCellMar>
          <w:top w:w="28" w:type="dxa"/>
          <w:left w:w="28" w:type="dxa"/>
          <w:bottom w:w="28" w:type="dxa"/>
          <w:right w:w="28" w:type="dxa"/>
        </w:tblCellMar>
      </w:tblPr>
      <w:tblGrid>
        <w:gridCol w:w="1246"/>
        <w:gridCol w:w="1306"/>
        <w:gridCol w:w="1080"/>
        <w:gridCol w:w="1080"/>
        <w:gridCol w:w="990"/>
        <w:gridCol w:w="990"/>
        <w:gridCol w:w="849"/>
        <w:gridCol w:w="921"/>
      </w:tblGrid>
      <w:tr>
        <w:trPr/>
        <w:tc>
          <w:tcPr>
            <w:tcW w:w="12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HOPD Facility Payment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198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ASC Facility Payment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177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Physician Payment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r>
      <w:tr>
        <w:trPr/>
        <w:tc>
          <w:tcPr>
            <w:tcW w:w="1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HCPCS Code</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Descriptor</w:t>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8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9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65820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Goniotomy</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$4,023</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$4,223</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$2,094</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$2,204</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$786</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66174</w:t>
            </w:r>
          </w:p>
        </w:tc>
        <w:tc>
          <w:tcPr>
            <w:tcW w:w="13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Canaloplasty</w:t>
            </w:r>
          </w:p>
        </w:tc>
        <w:tc>
          <w:tcPr>
            <w:tcW w:w="10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$4,023</w:t>
            </w:r>
          </w:p>
        </w:tc>
        <w:tc>
          <w:tcPr>
            <w:tcW w:w="10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$4,223</w:t>
            </w:r>
          </w:p>
        </w:tc>
        <w:tc>
          <w:tcPr>
            <w:tcW w:w="9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$2,094</w:t>
            </w:r>
          </w:p>
        </w:tc>
        <w:tc>
          <w:tcPr>
            <w:tcW w:w="9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$2,204</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w:t>
            </w:r>
          </w:p>
        </w:tc>
      </w:tr>
    </w:tbl>
    <w:p>
      <w:pPr>
        <w:pStyle w:val="TextBody"/>
        <w:bidi w:val="0"/>
        <w:spacing w:before="120" w:after="120"/>
        <w:jc w:val="both"/>
        <w:rPr>
          <w:rFonts w:ascii="Times New Roman" w:hAnsi="Times New Roman"/>
          <w:color w:val="231F20"/>
          <w:sz w:val="20"/>
        </w:rPr>
      </w:pPr>
      <w:r>
        <w:rPr>
          <w:rFonts w:ascii="Times New Roman" w:hAnsi="Times New Roman"/>
          <w:color w:val="231F20"/>
          <w:sz w:val="20"/>
        </w:rPr>
        <w:t>Based on customer feedback, we believe the rates for facility and physician reimbursement in both settings reflect attractive and reasonable payments to cover all of our customers’ costs and economic needs related to glaucoma treatments using OMNI and SION.</w:t>
      </w:r>
    </w:p>
    <w:p>
      <w:pPr>
        <w:pStyle w:val="TextBody"/>
        <w:bidi w:val="0"/>
        <w:spacing w:before="0" w:after="120"/>
        <w:jc w:val="both"/>
        <w:rPr>
          <w:rFonts w:ascii="Times New Roman" w:hAnsi="Times New Roman"/>
          <w:sz w:val="20"/>
        </w:rPr>
      </w:pPr>
      <w:r>
        <w:rPr>
          <w:rFonts w:ascii="Times New Roman" w:hAnsi="Times New Roman"/>
          <w:color w:val="231F20"/>
          <w:sz w:val="20"/>
        </w:rPr>
        <w:t>While our commercialization of OMNI has primarily been focused on the U.S., we have also focused our efforts on international commercialization, including in the United Kingdom and Germany, where we have hired local commercial and market access teams to promote OMNI to health care professionals and facilitate equitable reimbursed market access to procedures using our OMNI technology. We also sell OMNI in a limited number of other countries in Europe through distributors.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To date, the procedures most commonly performed with OMNI are covered in all United Kingdom and German regions and we are working towards educating ECPs across all these regions regarding the appropriate procurement and submission of claims for reimbursement to facilitate access to OMNI for patients and ECPs.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Reimbursement for Uses of the TearCare System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October 2025, two MACs, Novitas Solutions, Inc. (“Novitas”) and First Coast Service Options, Inc. (“FCSO”), each established jurisdiction-wide pricing for CPT code 0563T, retroactive to January 1, 2025. CPT code 0563T, which became effective January 1, 2020 and is specifically associated with procedures using TearCare. In jurisdictions outside of those covered by Novitas and FCSO, there is still no meaningful reimbursement coverage by Medicare or private payors for DED procedures, including TearCare, and patients are typically paying out-of-pocket for TearCare procedures, although some payors may agree to provide case-based coverage outside of a formal policy.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the current Rx and OTC dry eye drop market is dominated by eyedrops that do not address the underlying causes of MGD and that TearCare has the potential to offer a better standard of care for evaporative dry eye patients and reduce overall costs for payor. We plan to continue to engage with other MACs, third-party payors, the clinical societies, and other stakeholders in continued support of patient access for interventional meibomian gland disease procedures performed with the TearCare System.</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In December 2024, a Budget Impact Analysis (“BIA”) of the TearCare® System for the treatment of MGD-associated dry eye disease in the United States was published in </w:t>
      </w:r>
      <w:r>
        <w:rPr>
          <w:rFonts w:ascii="Times New Roman" w:hAnsi="Times New Roman"/>
          <w:color w:val="000000"/>
          <w:sz w:val="20"/>
        </w:rPr>
        <w:t xml:space="preserve">the </w:t>
      </w:r>
      <w:r>
        <w:rPr>
          <w:rFonts w:ascii="Times New Roman" w:hAnsi="Times New Roman"/>
          <w:i/>
          <w:color w:val="231F20"/>
          <w:sz w:val="20"/>
        </w:rPr>
        <w:t xml:space="preserve">Expert Review of Ophthalmology </w:t>
      </w:r>
      <w:r>
        <w:rPr>
          <w:rFonts w:ascii="Times New Roman" w:hAnsi="Times New Roman"/>
          <w:color w:val="231F20"/>
          <w:sz w:val="20"/>
        </w:rPr>
        <w:t>journal. The BIA estimated the fiscal impact of adopting a new technology or treatment within a specific provider environment or patient population, and identified the health savings associated with increased adoption of TearCare as compared to prescription dry eye medications for patients with dry eye disease. Key findings indicated that a 20% increase in market share of TearCare compared to prescription dry eye medications would yield an estimated annual savings of $36.87 per member per year across all plan members in a hypothetical health plan with one million covered lives. The study showed a direct relationship between increased utilization of TearCare in place of prescription medications and total costs savings from a U.S. payer perspective.</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In July 2025, a Cost Utility Analysis (“CUA”) of the TearCare System for the treatment of MGD-associated DED in the United States was published in the </w:t>
      </w:r>
      <w:r>
        <w:rPr>
          <w:rFonts w:ascii="Times New Roman" w:hAnsi="Times New Roman"/>
          <w:i/>
          <w:color w:val="231F20"/>
          <w:sz w:val="20"/>
        </w:rPr>
        <w:t>Expert Review of Pharmacoeconomics and Outcomes Research</w:t>
      </w:r>
      <w:r>
        <w:rPr>
          <w:rFonts w:ascii="Times New Roman" w:hAnsi="Times New Roman"/>
          <w:color w:val="231F20"/>
          <w:sz w:val="20"/>
        </w:rPr>
        <w:t xml:space="preserve"> journal. The CUA demonstrated cost savings and greater health utility with TearCare compared to cyclosporine 0.05% for treating MGD-associated DED, offering a more efficient and patient-centric approach to treating this common ocular disease.</w:t>
      </w:r>
      <w:r>
        <w:rPr>
          <w:rFonts w:ascii="Times New Roman" w:hAnsi="Times New Roman"/>
          <w:color w:val="000000"/>
          <w:sz w:val="20"/>
        </w:rPr>
        <w:t xml:space="preserve"> </w:t>
      </w:r>
      <w:r>
        <w:rPr>
          <w:rFonts w:ascii="Times New Roman" w:hAnsi="Times New Roman"/>
          <w:color w:val="231F20"/>
          <w:sz w:val="20"/>
        </w:rPr>
        <w:t xml:space="preserve">The analysis, conducted from a US healthcare payer perspective using a 1-year time horizon, revealed that TearCare resulted in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per-patient annual costs ($4,916) and higher quality-adjusted life years (QALYs; 0.76) compared to CsA ($5,819 and 0.74 QALYs, respectively). This translated to per-patient annual cost savings of $903 and an incremental benefit of 0.014 QALYs.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continue to generate clinical data to support positive coverage decisions from Medicare and private payors, and are leveraging the OLYMPIA, SAHARA, BIA, and CUA publications in our discussions with payors.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comprehensive long-term strategy to improve patient access to TearCare includes the following key initiatives: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Demonstrating the effectiveness, safety and durability of TearCare with rigorous clinical and health economic data;</w:t>
      </w:r>
      <w:r>
        <w:rPr>
          <w:color w:val="231F20"/>
        </w:rPr>
        <w:t xml:space="preserve">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 xml:space="preserve">Executing an effective market access strategy to expand equitable reimbursement;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 xml:space="preserve">Expanding our commercial coverage to increase patient and ECP awareness of TearCare treatment options; and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Taking appropriate steps to prepare for the conversion of CPT code 0563T to a permanent Category I CPT code.</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Competition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our focus on developing and marketing intuitively designed products that are intended to restore the eye’s natural physiological function by addressing underlying causes of eye disease will be an important factor in our future success. The medical device and pharmaceutical industries are intensely competitive, subject to rapid change and significantly affected by new product introductions and other market activities of industry participants. We compete with medical device and pharmaceutical companies that develop and commercialize products for eye conditions. Notable competitors with approved MIGS products include Glaukos, Alcon, AbbVie, Iantrek, New World Medical, and Nova Eye Medical Limited. Notable competitors with approved DED procedures include Johnson &amp; Johnson and Alcon, while competitors with approved DED products include Abbvie and Novartis.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Some of our competitors are larger, well-capitalized companies with greater current market share and resources. We also compete with several smaller medical device companies that have a single product or a limited range of products. Our business can be adversely impacted by a number of competitive factors including introduction of competitive MIGS products as well as alternative therapies that compete with our product offerings. Recent competitive product introductions have led to customer trialing, and, in certain instances, customer adoption of these alternative products, some of which are less proven and generally available at lower average selling prices than our OMNI technology. We believe these new product introductions and related trialing activities in the marketplace are indicative of an increasingly competitive MIGS segment.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addition, some of our competitors have: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Significantly greater name recognition;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Broader or deeper relations with healthcare professionals, customers, industry associations and third-party payors;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More established distribution networks;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Commercial strategies that incorporate or rely on pricing discounts and concessions to take market share;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Additional lines of products and the ability to offer rebates or bundle products to offer greater discounts or other incentives or lower prices to attract adoption;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Greater experience in conducting research and development, manufacturing, clinical trials, marketing and obtaining regulatory clearance or approval for products;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Greater financial and human resources for product development, sales and marketing and patent and other intellectual property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We compete primarily on the basis that our medical devices are able to treat patients with prevalent eye diseases safely and effectively. Our continued success depends on our ability to:</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Develop innovative, proprietary technology and products that can cost-effectively address significant clinical needs;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Obtain and maintain regulatory clearances or approvals for the use of our products;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Obtain and maintain favorable reimbursement decisions relating to the use of our products;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Demonstrate clinical safety and effectiveness in our sponsored and third-party trials and studies;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Attract and retain skilled research and development and sales personnel;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Successfully market and sell products.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Manufacturing</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do not currently operate any manufacturing facilities and instead contract with third parties for our production requirements, including key components used in our products.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are party to a supply agreement with Peter’s Technology (Suzhou) CO LTD. ("PTCS"), a Chinese subsidiary of Peter’s Co., Ltd., a Taiwan-based contract manufacturer (as amended, the "Peter's Supply Agreement"), pursuant to which PTCS manufactures our OMNI and SION products as well as certain components of our TearCare system. The original three-year term of the Peter’s Supply Agreement expired in January 2024, after which the agreement has continued to automatically renew for additional consecutive one-year periods. The agreement contains customary termination provisions, including the right for either party to terminate the agreement upon provision of notice at least 90 days before the end of the then-current renewal term.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For the production of our TearCare System components, we currently have supply arrangements with several medical device manufacturers. In addition to our agreement with PTCS for the production of SmartLids, we partner with various other suppliers for the production of the SmartHub and Clearance Assistant components of our TearCare System.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that the manufacturing capacity provided by our approved third-party suppliers will be adequate to meet our current and anticipated manufacturing needs. However, geopolitical tensions between other countries and the United States, or potential escalation of trade disputes could increase the cost of our products or components, and materially and adversely affect our business operations and financial condition. Historically, a significant portion of our products have been produced and assembled by PTCS in China. In an effort to diversify our manufacturing footprint and have product readily available from multiple manufacturing facilities, we are expanding our manufacturing to include additional facilities outside of China in 2026.</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also continue to monitor the reciprocal imposition of tariffs between United States and China on their respective imports. The United States tariffs on imports from China had a negative impact on our gross margins in 2025, as the vast majority of our products were manufactured by third parties with manufacturing facilities located in China. We are addressing this exposure by expanding production capacity outside of China in 2026. However, if trade disputes further escalate and tariffs applicable to our products increase, our business and results of operations could be materially and adversely affected. Further, additional tariffs may adversely affect shipping capacity and logistics and will likely increase our shipping costs.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Manufacturing facilities that produce medical devices or their component parts intended for distribution world-wide are subject to regulation and periodic unannounced inspection or audits by the FDA and other domestic and international regulatory agencies or notified bodies. In the United States, any products we sell are required to be manufactured in compliance with the FDA’s Quality Management System Regulation ("QMSR"), which covers the methods used in, and the facilities used for, the design, testing, control, manufacturing, labeling, quality assurance, packaging, storage and shipping of our products.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distribution of our products is handled directly through a third-party logistics provider. Our finished goods are shipped from our contract manufacturers to a local gamma sterilization facility after which they are shipped to distribution facilities and, ultimately, to 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231F20"/>
          <w:sz w:val="20"/>
        </w:rPr>
      </w:pPr>
      <w:r>
        <w:rPr>
          <w:rFonts w:ascii="Times New Roman" w:hAnsi="Times New Roman"/>
          <w:b/>
          <w:color w:val="231F20"/>
          <w:sz w:val="20"/>
        </w:rPr>
        <w:t>Intellectual Property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commercial success depends in part on our ability to obtain and maintain proprietary protection for our current and future products and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seeking to obtain or in-license U.S. and foreign patents and patent applications related to our proprietary technology that are important to the development and implementation of our business. We seek to obtain domestic and international patent protection, and endeavor to promptly file patent applications for new commercially valuable inventions. We file new patent applications as we conduct research and development, initiate new programs, and monitor the activities of others. We also rely on other approaches to protecting our proprietary position, such as trademarks, trade secrets, know-how, and/or continuing technological innovation to develop and maintain our proprietary position.</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Patent Term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Generally, issued patents are granted a term of 20 years from the earliest claimed non-provisional filing date. In certain instances, U.S. patent terms can be adjusted to recapture a portion of delay by the U.S. Patent &amp; Trademark Office ("USPTO"), in examining the patent application ("patent term adjustment") or extended to account for term effectively lost as a result of the FDA regulatory review period ("patent term extension"), or both. In some cases, the term of a U.S. patent may be shortened by terminal disclaimer, such that its term is reduced to end with that of an earlier-expiring patent.</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Trade Secrets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addition to patents, we rely on trade secrets and know-how to develop and maintain our competitive position. We typically rely on trade secrets to protect aspects of our business that are not amenable to, or that we do not consider appropriate for, patent protection. It is our policy to protect trade secrets and/or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entity’s relationship with us must be kept confidential during the relationship and for an appropriate period thereafter. These agreements also provide that we shall have all rights that we deem necessary or advisable to use and otherwise exploit inventions resulting from work performed for us or relating to our business and conceived or completed during the period of employment or assignment, as applicable. In addition, we take other appropriate precautions, such as physical and technological security measures, to guard against misappropriation of our proprietary information by third parties.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Patents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As of December 31, 2025, we owned 57 issued U.S. patents, 74 issued patents outside of the U.S. (which includes seven issued European patents and their national validations), 24 pending U.S. non-provisional patent applications, 31 pending foreign patent applications and four pending Patent Cooperation Treaty patent applications. Our issued patents include claims directed to devices and methods for canaloplasty and/or trabeculotomy, ocular implants and related methods, goniotomy devices, methods for treating dry eye disease using pharmaceutical compositions, the TearCare apparatus and methods of using the TearCare apparatus, components of the TearCare apparatus (including the SmartHub and SmartLids) and methods of their use, the TearCare apparatus in combination with an eyelid compression instrument and methods of their use, and methods of using the TearCare apparatus with patients wearing contact lenses.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Subject to payment of required maintenance fees, annuities, and other charges, our issued U.S. patents have expiration dates between 2026 and 2043, with nine of our issued U.S. patents having expiration dates before 2030, 39 having expiration dates between 2031 and 2035, one having an expiration date in 2037, one having an expiration date in 2039, and the remaining seven expiring between 2040 and 2043, in each case exclusive of possible patent term extensions. Of our 24 pending U.S. non-provisional patent applications, one was filed in 2019, two were filed in 2020, two were filed in 2022, seven were filed in 2023, five were filed in 2024 and nine were filed in 2025. Our pending U.S. non-provisional patent applications, if issued, have expected expiration dates between 2026 and 2045, exclusive of any possible patent term adjustments or patent term extensions.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foreign jurisdictions where we own issued patents include: Australia, Belgium, Brazil, China, France, Germany, Hong Kong, Ireland, Italy, Japan, Norway, Spain, Sweden, Switzerland, The Netherlands and the United Kingdom. Subject to payment of required annuities and other charges, these foreign patents have expiration dates between 2027 and 2035. We have pending patent applications in various countries including Australia, Brazil, Canada, China, Europe, Hong Kong, and Japan which, if issued, have expected expiration dates between 2032 and 2043.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As of December 31, 2025, we owned nine U.S. trademark registrations, two EU trademark registrations; two German trademark registration; two Swiss trademark registrations; two UK trademark registrations; one Brazilian trademark registration; five pending U.S. trademark applications; three pending Brazilian trademark applications; one International Registration designating Canada, Japan and the UK; one International Registration designating Australia, Brazil, Canada, the EU, Japan, Korea, Mexico, Singapore, Switzerland, and the UK; one International Registration designating Australia, Brazil and the EU; one International Registration designating Australia, the EU, Japan, Korea, Mexico, Singapore and the UK; one International Registration designating Australia, Canada, the EU, Singapore and the UK; one International Registration designating Japan; one International Registration designating Australia, Canada, the EU, Japan, Korea, Mexico, Singapore and the UK; one International Registration designating Australia, the EU, Japan and Mexico.</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Government Regulation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products and our operations are subject to extensive regulation by the FDA and other federal, state, and local authorities in the United States, as well as comparable authorities in foreign jurisdictions. Our products are subject to regulation as medical devices in the United States under the FDCA and its implementing regulations.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United States Regulation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FDA regulates, among other things, the development, design, non-clinical and clinical testing, manufacturing, safety, effectiveness, labeling, packaging, storage, installation, servicing, recordkeeping, premarket clearance or approval, adverse event reporting, advertising, promotion, marketing and distribution, and import and export and post-marketing surveillance of medical devices in the United States to ensure that medical devices distributed domestically are safe and effective for their intended uses and otherwise meet the requirements of the FDCA.</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FDA Premarket Clearance and Approval Requirements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Unless an exemption applies, each new or significantly modified medical device commercially distributed in the United States requires either FDA clearance of a 510(k) premarket notification, or approval of a premarket approval ("PMA"), application.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Under the FDCA, medical devices are classified into one of three classes—Class I, Class II or Class III— depending on the degree of risk associated with each medical device and the extent of manufacturer and regulatory control needed to ensure its safety and effectiveness.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Our currently marketed OMNI and TearCare products are regulated as Class II devices subject to 510(k) clearance. Our SION surgical instrument is registered with the FDA as a Class I 510(k) exempt device.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Clinical Trials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Clinical trials are almost always required to support a PMA and are sometimes required to support a 510(k) submission. In the United States, absent certain limited exceptions, human clinical trials intended to support medical device clearance or approval or to determine safety and effectiveness of a device for an investigational use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study sponsor to submit an IDE application to the FDA, which must be approved in advance by the FDA for a specified number of subjects.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Regardless of the degree of risk presented by the medical device, clinical studies must be approved by and conducted under the oversight of an institutional review board ("IRB") for each clinical site.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Clinical trials are subject to extensive monitoring, recordkeeping and reporting requirements. Clinical trials must be conducted under the oversight of an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high-risk devices, by the ministry of health in the applicable country.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and satisfy state and federal privacy and human subject protection regulations. Additionally, after a trial begins, we, the FDA or the IRB could suspend or terminate a clinical trial at any time for various reasons, including a belief that the potential benefits of the study are outweighed by cost, safety, or other factors.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510(k) Clearance Process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Under the 510(k) process, the manufacturer must submit to the FDA a premarket notification submission demonstrating that the proposed device is “substantially equivalent,” as defined in the FDCA, to a legally marketed predicate device.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 predicate device is a legally marketed device that is not subject to premarket approval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FDA has a performance goal of 90 days for review of a 510(k) submission, but the review time can be delayed if FDA raises questions or requests additional information during the review process.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w:t>
      </w:r>
    </w:p>
    <w:p>
      <w:pPr>
        <w:pStyle w:val="TextBody"/>
        <w:bidi w:val="0"/>
        <w:spacing w:before="0" w:after="120"/>
        <w:jc w:val="both"/>
        <w:rPr>
          <w:rFonts w:ascii="Times New Roman" w:hAnsi="Times New Roman"/>
          <w:sz w:val="20"/>
        </w:rPr>
      </w:pPr>
      <w:r>
        <w:rPr>
          <w:rFonts w:ascii="Times New Roman" w:hAnsi="Times New Roman"/>
          <w:color w:val="231F20"/>
          <w:sz w:val="20"/>
        </w:rPr>
        <w:t>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 III device. The device sponsor must then fulfill more rigorous requirements of the PMA approval process, or can request a risk-based classification determination for the device in accordance with the “</w:t>
      </w:r>
      <w:r>
        <w:rPr>
          <w:rFonts w:ascii="Times New Roman" w:hAnsi="Times New Roman"/>
          <w:i/>
          <w:color w:val="231F20"/>
          <w:sz w:val="20"/>
        </w:rPr>
        <w:t>de novo</w:t>
      </w:r>
      <w:r>
        <w:rPr>
          <w:rFonts w:ascii="Times New Roman" w:hAnsi="Times New Roman"/>
          <w:color w:val="231F20"/>
          <w:sz w:val="20"/>
        </w:rPr>
        <w:t>” process, which is a route to market for certain novel medical devices that are low to moderate risk and are not substantially equivalent to a predicate device.</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hAnsi="Times New Roman"/>
          <w:i/>
          <w:color w:val="231F20"/>
          <w:sz w:val="20"/>
        </w:rPr>
        <w:t xml:space="preserve">de novo </w:t>
      </w:r>
      <w:r>
        <w:rPr>
          <w:rFonts w:ascii="Times New Roman" w:hAnsi="Times New Roman"/>
          <w:color w:val="231F20"/>
          <w:sz w:val="20"/>
        </w:rPr>
        <w:t xml:space="preserve">reclassification. The FDA requires each manufacturer to determine whether the proposed change requires submission of a 510(k), </w:t>
      </w:r>
      <w:r>
        <w:rPr>
          <w:rFonts w:ascii="Times New Roman" w:hAnsi="Times New Roman"/>
          <w:i/>
          <w:color w:val="231F20"/>
          <w:sz w:val="20"/>
        </w:rPr>
        <w:t xml:space="preserve">de novo </w:t>
      </w:r>
      <w:r>
        <w:rPr>
          <w:rFonts w:ascii="Times New Roman" w:hAnsi="Times New Roman"/>
          <w:color w:val="231F20"/>
          <w:sz w:val="20"/>
        </w:rPr>
        <w:t xml:space="preserve">request or a PMA in the first instance, but the FDA may review this determination to evaluate the regulatory status of the modified product at any time and may require the manufacturer to cease marketing and/or request the recall of the modified device until 510(k) marketing clearance or PMA approval is obtained or a </w:t>
      </w:r>
      <w:r>
        <w:rPr>
          <w:rFonts w:ascii="Times New Roman" w:hAnsi="Times New Roman"/>
          <w:i/>
          <w:color w:val="231F20"/>
          <w:sz w:val="20"/>
        </w:rPr>
        <w:t xml:space="preserve">de novo </w:t>
      </w:r>
      <w:r>
        <w:rPr>
          <w:rFonts w:ascii="Times New Roman" w:hAnsi="Times New Roman"/>
          <w:color w:val="231F20"/>
          <w:sz w:val="20"/>
        </w:rPr>
        <w:t>request is granted. Also, in these circumstances, the manufacturer may be subject to significant regulatory fines or penalties.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231F20"/>
          <w:sz w:val="20"/>
        </w:rPr>
      </w:pPr>
      <w:r>
        <w:rPr>
          <w:rFonts w:ascii="Times New Roman" w:hAnsi="Times New Roman"/>
          <w:b/>
          <w:i/>
          <w:color w:val="231F20"/>
          <w:sz w:val="20"/>
        </w:rPr>
        <w:t>Ongoing Regulation by the FDA</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Even after the FDA permits a device to be marketed, numerous and pervasive regulatory requirements continue to apply. These include: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Establishment of registration and device listing with the FDA;</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QMSR requirements, which require manufacturers, including third-party manufacturers, to follow stringent design, testing, control, supplier/contractor selection, compliant handling, documentation and other quality assurance procedures during all aspects of the design and manufacturing process;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Labeling regulations, advertising and promotion requirements, restrictions on sale, distribution or sale of a device, each including the FDA prohibition against the promotion of products for any uses other than those authorized by the FDA, which are commonly known as “off-label” uses;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FDA approval of product modifications of approved devices that affect safety or effectiveness or that would constitute a major change in intended use of an approved device;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Medical device correction and removal reporting regulations, which require that manufacturers report to the FDA field corrections or removals if undertaken to reduce a risk to health posed by the device or to remedy a violation of the FDCA that may present a risk to health;</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Recall requirements, including a mandatory recall if there is a reasonable probability that the device would cause serious adverse health consequences or death;</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An order of repair, replacement, or refund;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Device tracking requirements (if ordered by the FDA);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Post-market study and surveillance requirements.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Warning letters, untitled letters, fines, injunctions, consent decrees and civil penalties;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Recalls, withdrawals, or administrative detention or seizure of our products;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Operating restrictions or partial suspension or total shutdown of production;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Refusing or delays in processing, clearing, or approving submissions or applications for new products or modifications to existing products;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Suspension or withdrawal of 510(k) clearances or PMA approvals that have already been granted;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FDA refusal to issue certification to foreign governments needed to export our products for sale in other countries; or</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Criminal prosecution.</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International Regulation of Our Products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Our research, development, and clinical programs, as well as our manufacturing and marketing operations, are subject to extensive regulation in other countries. For example, the EU has adopted specific regulations regulating the design, manufacture, clinical investigations, conformity assessment, labeling and adverse event reporting for medical devices.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Until May 25, 2021, medical devices were regulated by Council Directive 93/42/EEC ("Medical Devices Directive") which has been repealed and replaced by Regulation (EU) No 2017/745 ("EU MDR"). Our original CE mark certificates were granted under the Medical Devices Directive. However, as of May 26, 2021, some of the EU MDR requirements apply in place of the corresponding requirements of the Medical Devices Directive, with regard to registration of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operators and of devices, post-market surveillance and vigilance requirements. Pursuing marketing of medical devices in the EU requires that our devices be certified under the new regime set forth in the EU MDR. On December 11, 2023, the Company received approval of the OMNI Surgical System family of products under the EU MDR, fulfilling these requirements. </w:t>
      </w:r>
    </w:p>
    <w:p>
      <w:pPr>
        <w:pStyle w:val="TextBody"/>
        <w:bidi w:val="0"/>
        <w:spacing w:before="0" w:after="120"/>
        <w:jc w:val="both"/>
        <w:rPr>
          <w:rFonts w:ascii="Times New Roman" w:hAnsi="Times New Roman"/>
          <w:i/>
          <w:color w:val="231F20"/>
          <w:sz w:val="20"/>
        </w:rPr>
      </w:pPr>
      <w:r>
        <w:rPr>
          <w:rFonts w:ascii="Times New Roman" w:hAnsi="Times New Roman"/>
          <w:i/>
          <w:color w:val="231F20"/>
          <w:sz w:val="20"/>
        </w:rPr>
        <w:t>Medical Device Regulation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On April 5, 2017, the EU MDR was adopted. The EU MDR establishes a uniform, transparent, predictable and sustainable regulatory framework across the EU for medical devices and ensures a high level of safety and health while supporting innovation. Unlike the Medical Devices Directive, the EU MDR is directly applicable in EU member states without the need for each member state to implement the regulation into such members state's national law. This aims at increasing harmonization across the EU.</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The EU MDR </w:t>
      </w:r>
      <w:r>
        <w:rPr>
          <w:rFonts w:ascii="Times New Roman" w:hAnsi="Times New Roman"/>
          <w:color w:val="000000"/>
          <w:sz w:val="20"/>
        </w:rPr>
        <w:t>became effective on May 26, 2021.</w:t>
      </w:r>
      <w:r>
        <w:rPr>
          <w:rFonts w:ascii="Times New Roman" w:hAnsi="Times New Roman"/>
          <w:color w:val="231F20"/>
          <w:sz w:val="20"/>
        </w:rPr>
        <w:t xml:space="preserve"> The regulation, among other things:</w:t>
      </w:r>
    </w:p>
    <w:p>
      <w:pPr>
        <w:pStyle w:val="TextBody"/>
        <w:bidi w:val="0"/>
        <w:spacing w:before="0" w:after="0"/>
        <w:jc w:val="both"/>
        <w:rPr>
          <w:color w:val="231F20"/>
        </w:rPr>
      </w:pPr>
      <w:r>
        <w:rPr>
          <w:color w:val="231F20"/>
        </w:rPr>
        <w:t>•</w:t>
      </w:r>
    </w:p>
    <w:p>
      <w:pPr>
        <w:pStyle w:val="TextBody"/>
        <w:bidi w:val="0"/>
        <w:spacing w:before="0" w:after="0"/>
        <w:jc w:val="both"/>
        <w:rPr/>
      </w:pPr>
      <w:r>
        <w:rPr>
          <w:rFonts w:ascii="Times New Roman" w:hAnsi="Times New Roman"/>
          <w:color w:val="231F20"/>
          <w:sz w:val="20"/>
        </w:rPr>
        <w:t xml:space="preserve">strengthens the rules on placing devices on the market </w:t>
      </w:r>
      <w:r>
        <w:rPr>
          <w:rFonts w:ascii="Times New Roman" w:hAnsi="Times New Roman"/>
          <w:color w:val="000000"/>
          <w:sz w:val="20"/>
        </w:rPr>
        <w:t xml:space="preserve">(e.g., reclassification of certain devices and wider scope than the Medical Devices Directive) </w:t>
      </w:r>
      <w:r>
        <w:rPr>
          <w:rFonts w:ascii="Times New Roman" w:hAnsi="Times New Roman"/>
          <w:color w:val="231F20"/>
          <w:sz w:val="20"/>
        </w:rPr>
        <w:t>and reinforces surveillance once they are available;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establishes explicit provisions on manufacturers’ responsibilities for the follow-up of the quality, performance and safety of devices placed on the market;</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20"/>
        </w:rPr>
        <w:t>establi</w:t>
      </w:r>
      <w:r>
        <w:rPr>
          <w:rFonts w:ascii="Times New Roman" w:hAnsi="Times New Roman"/>
          <w:color w:val="000000"/>
          <w:sz w:val="20"/>
        </w:rPr>
        <w:t xml:space="preserve">shes explicit provisions on importers’ and distributors’ obligations and responsibilities;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imposes an obligation to identify a responsible person who is ultimately responsible for all aspects of compliance with the requirements of the new regulation;</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20"/>
        </w:rPr>
        <w:t>improves the traceability of medical devices throughout the supply chain to the end-user or patient through</w:t>
      </w:r>
      <w:r>
        <w:rPr>
          <w:color w:val="000000"/>
        </w:rPr>
        <w:t xml:space="preserve"> </w:t>
      </w:r>
      <w:r>
        <w:rPr>
          <w:rFonts w:ascii="Times New Roman" w:hAnsi="Times New Roman"/>
          <w:color w:val="000000"/>
          <w:sz w:val="20"/>
        </w:rPr>
        <w:t>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r>
        <w:rPr>
          <w:rFonts w:ascii="Times New Roman" w:hAnsi="Times New Roman"/>
          <w:color w:val="231F20"/>
          <w:sz w:val="20"/>
        </w:rPr>
        <w: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sets up a central database ("Eudamed") to provide patients, healthcare professionals and the public with comprehensive information on products available in the EU; and</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20"/>
        </w:rPr>
        <w:t xml:space="preserve">strengthens the rules for the assessment of certain high-risk devices, </w:t>
      </w:r>
      <w:r>
        <w:rPr>
          <w:rFonts w:ascii="Times New Roman" w:hAnsi="Times New Roman"/>
          <w:color w:val="000000"/>
          <w:sz w:val="20"/>
        </w:rPr>
        <w:t>such as implants,</w:t>
      </w:r>
      <w:r>
        <w:rPr>
          <w:color w:val="231F20"/>
        </w:rPr>
        <w:t xml:space="preserve"> </w:t>
      </w:r>
      <w:r>
        <w:rPr>
          <w:rFonts w:ascii="Times New Roman" w:hAnsi="Times New Roman"/>
          <w:color w:val="231F20"/>
          <w:sz w:val="20"/>
        </w:rPr>
        <w:t xml:space="preserve">which may have to undergo </w:t>
      </w:r>
      <w:r>
        <w:rPr>
          <w:rFonts w:ascii="Times New Roman" w:hAnsi="Times New Roman"/>
          <w:color w:val="000000"/>
          <w:sz w:val="20"/>
        </w:rPr>
        <w:t xml:space="preserve">a clinical evaluation consultation procedure by experts </w:t>
      </w:r>
      <w:r>
        <w:rPr>
          <w:rFonts w:ascii="Times New Roman" w:hAnsi="Times New Roman"/>
          <w:color w:val="231F20"/>
          <w:sz w:val="20"/>
        </w:rPr>
        <w:t>before they are placed on the market.</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The aforementioned EU rules are generally applicable in the European Economic Area, which consists of the 27 EU member states plus Norway, Liechtenstein and Iceland. Other countries, such as Switzerland, have entered into Mutual Recognition Agreements and allow the marketing of medical devices that meet EU requirements. With the entry into force of the EU MDR, the Swiss-EU Mutual Recognition Agreement was updated as Switzerland is considered a third country to the European Union. Switzerland released their national regulation, the Swiss Medical Devices Ordinance (“MedDO”) on May 25, 2021, and has aligned their requirements with the EU MDR, subject to transitional provisions. Therefore, EU CE marking certificates are accepted in Switzerland, along with additional requirements as set forth in the MedDO.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the United Kingdom, the UK Medical Devices Regulations 2002 (“UK MDR”) remain applicable in England, Scotland and Wales ("Great Britain"). During 2021, a UK Responsible Person was appointed, and we registered the OMNI System with the Medicines and Healthcare products Regulatory Agency. Valid CE marks under the EU MDR will continue to be accepted in Great Britain, and the requirement to obtain a UK Conformity Assessed ("UKCA") mark has been delayed until June 30, 2030. Sight Sciences received a UKCA certification for the OMNI family of products on March 1, 2024, and has completed a transition plan to transition over to the UKCA requirements.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On December 16, 2025, the European Commission proposed a targeted simplification of the current rules for medical devices to make them easier, faster and more effective and further promote competitiveness, innovation and a high-level of patient safety. The proposal has been submitted to the European Parliament and the Council. To become binding Union law, the co-legislators need to adopt the text by ordinary legislative procedure.</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Healthcare Fraud and Abuse Laws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the United States, we are subject to several federal and state healthcare regulatory laws that restrict business practices in the healthcare industry. These laws include, but are not limited to, federal and state anti- kickback, false claims, transparency and other healthcare fraud and abuse laws.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U.S. federal Anti-Kickback Statute (the “Anti-Kickback Statute”) prohibits, among other things, any person or entity from knowingly and willfully offering, paying, soliciting, receiving or providing any remuneration, directly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 discounts, and free or reduced-price items and services. Among other things, the Anti-Kickback Statute has been interpreted to apply to 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The majority of states also have anti- kickback laws, which establish similar prohibitions, and in some cases may apply to items or services reimbursed by any third-party payor, including commercial insurers and self-pay patients.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federal false claims legislation,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to have committed a violation.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federal Physician Payments Sunshine Act requires certain manufacturers of drugs, devices, biologics and medical supplies for which payment is available under Medicare, Medicaid or the Children’s Health Insurance Program ("CHIP"), with 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such obligations were expanded to include payments and other transfers of value provided in the previous year to additional healthcare professionals, including physician assistants, nurse practitioners, clinical nurse specialists, certified nurse anesthetists, anesthesiologist assistants and certified nurse midwives.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Coverage and Reimbursement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the United States, our currently cleared products are not separately reimbursed by any third-party payors, and if covered, are paid for as part of the procedure in which the product is used. Our commercial success depends in part on the extent to which governmental authorities, private health insurers and other third-party payors provide coverage for and establish adequate reimbursement levels for the procedures in which our products are used. Failure by physicians, hospitals, ambulatory surgery centers and other users of our products to receive adequate reimbursement from third-party payors for procedures in which our products are used, or adverse changes in government and private third-party payors’ coverage and reimbursement policies, may adversely impact demand for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Based on our experience to date, third-party payors generally reimburse for the procedures in which our products are used only if the patient meets the established medical necessity criteria for the procedure. Some payors have moved toward a managed care system and control their healthcare costs by establishing coverage policies that categorically restrict coverage of certain procedures, or by limiting authorization for procedures, including elective procedures using our devices. No uniform policy of coverage and reimbursement among payors in the United States exists, and coverage and reimbursement for procedures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reimbursement approval can be obtained and/or maintained from governmental and private third-party payors.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in which our products are used. These updates, which may include lower reimbursement rates for procedures in which our products are used, could have a direct impact on the demand of our products.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Third-party payors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Healthcare Reform</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implementation of the Affordable Care Act ("ACA") in the United States, for example, has changed healthcare financing and delivery by both governmental and private insurers substantially, and affected medical device manufacturers significantly.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It is unclear how healthcare reform measures of the Trump administration or other efforts, if any, to challenge, repeal or replace the ACA will impact the law or our business.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addition,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Data Privacy and Security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Numerous state, federal and foreign laws, including consumer protection laws and regulations, govern the collection, dissemination, use, access to, confidentiality and security of personal information, including personal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(FTC) Act), that govern the collection, use, disclosure, and protection of health-related and other personal information could apply to our operations or the operations of our partners. In addition, certain state and non-U.S. laws, such as the California Consumer Privacy Act ("CCPA"), and other state privacy and data protection laws similar to the CCPA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Europe, the GDPR went into effect on May 25,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Further, from January 1, 2021, companies must comply with the GDPR and also the United Kingdom General Data Protection Regulation ("UK GDPR"), which, together with the amended UK Data Protection Act 2018, retains the GDPR in UK national law. </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Human Capital</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As of December 31, 2025, we had 186 full-time employees. Our highly qualified and experienced team includes engineers, scientists, physicians and professionals across sales, marketing, regulatory, finance and other important functions that are critical to our success. We believe that the success of our business will depend, in part, on our ability to attract and retain qualified personnel. None of our employees are represented by a labor union or are a party to a collective bargaining agreement and we believe that we have good relations with our employees.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continued success is reliant on the ability to attract, develop and retain top talent. To facilitate talent attraction and retention, we strive to foster an inclusive and safe workplace, with opportunities for our employees to grow and develop in their careers, supported by competitive compensation and benefits programs. In the attraction, development and retention of talent, we emphasize:</w:t>
      </w:r>
    </w:p>
    <w:p>
      <w:pPr>
        <w:pStyle w:val="TextBody"/>
        <w:bidi w:val="0"/>
        <w:spacing w:before="0" w:after="120"/>
        <w:jc w:val="both"/>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 xml:space="preserve"> We strive to provide competitive compensation and benefits programs to attract and retain top talent and review these programs annually against the competitive landscape to ensure they continue to meet the needs of our employees. In addition to salaries, these programs include a variety of short and long-term incentive plans such as annual performance-based bonuses, commissions for certain sales roles, equity awards, an Employee Stock Purchase Plan, a 401(k) Plan, healthcare and insurance benefits, health savings and flexible spending accounts, paid time off, family leave, family care resources, flexible work schedules, and employee assistance programs. In addition to our broad-based equity award programs, we have used targeted equity-based grants with vesting conditions to facilitate the retention and engagement of our talent.</w:t>
      </w:r>
    </w:p>
    <w:p>
      <w:pPr>
        <w:pStyle w:val="TextBody"/>
        <w:bidi w:val="0"/>
        <w:spacing w:before="0" w:after="120"/>
        <w:jc w:val="both"/>
        <w:rPr>
          <w:rFonts w:ascii="Times New Roman" w:hAnsi="Times New Roman"/>
          <w:sz w:val="20"/>
        </w:rPr>
      </w:pPr>
      <w:r>
        <w:rPr>
          <w:rFonts w:ascii="Times New Roman" w:hAnsi="Times New Roman"/>
          <w:i/>
          <w:color w:val="000000"/>
          <w:sz w:val="20"/>
        </w:rPr>
        <w:t>Talent Development.</w:t>
      </w:r>
      <w:r>
        <w:rPr>
          <w:rFonts w:ascii="Times New Roman" w:hAnsi="Times New Roman"/>
          <w:color w:val="000000"/>
          <w:sz w:val="20"/>
        </w:rPr>
        <w:t xml:space="preserve"> We believe employees are our greatest asset and we strive to provide development and promotional opportunities in order to help our employees reach their potential. We provide formal and informal training opportunities designed to enhance learning and development. Consistent with our performance review processes, we foster and encourage continuous manager and employee dialogue around performance and development.</w:t>
      </w:r>
    </w:p>
    <w:p>
      <w:pPr>
        <w:pStyle w:val="TextBody"/>
        <w:bidi w:val="0"/>
        <w:spacing w:before="0" w:after="120"/>
        <w:jc w:val="both"/>
        <w:rPr>
          <w:rFonts w:ascii="Times New Roman" w:hAnsi="Times New Roman"/>
          <w:sz w:val="20"/>
        </w:rPr>
      </w:pPr>
      <w:r>
        <w:rPr>
          <w:rFonts w:ascii="Times New Roman" w:hAnsi="Times New Roman"/>
          <w:i/>
          <w:color w:val="000000"/>
          <w:sz w:val="20"/>
        </w:rPr>
        <w:t>Health, Safety and Wellness.</w:t>
      </w:r>
      <w:r>
        <w:rPr>
          <w:rFonts w:ascii="Times New Roman" w:hAnsi="Times New Roman"/>
          <w:color w:val="000000"/>
          <w:sz w:val="20"/>
        </w:rPr>
        <w:t xml:space="preserve"> We are committed to the health, safety and wellness of our employees. We provide our employees and their families 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Inclusion, and Belonging. </w:t>
      </w:r>
      <w:r>
        <w:rPr>
          <w:rFonts w:ascii="Times New Roman" w:hAnsi="Times New Roman"/>
          <w:color w:val="000000"/>
          <w:sz w:val="20"/>
        </w:rPr>
        <w:t xml:space="preserve">We believe diversity of thought, values, individual characteristics, beliefs and backgrounds is critical to our overall success. We are an equal opportunity employer and believe that diverse and differentiated views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contribute to make us a better organization where every employee not only contributes to our collective success but also feels a sense of belonging. It is our conscious effort to support and promote equal opportunity for all our employees within the workplace.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Sight Sciences, Inc. was incorporated as a Delaware corporation on February 10, 2010. We maintain a website at www.sightsciences.com. At our Investor Relations website, investors.sightsciences.com, we make available free of charge information for investors, including our Annual Reports on Form 10-K, Quarterly Reports on Form 10-Q, Current Reports on Form 8-K, and any amendments to those reports, as soon as reasonably practicable after we electronically file that material with or furnish it to the Securities and Exchange Commission (the “SEC”). The information found on our website is not part of this or any other report we file with, or furnish to, the SEC, and references to our website address are inactive textual references only.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0" w:after="240"/>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audited consolidated financial statements and the accompanying notes thereto included elsewhere in this Annual Report on Form 10-K, before investing in our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all or part of your investment.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an early-stage company with a history of significant losses, we expect to incur losses in the future, and we may not be able to achieve or sustain profitability, which may make it difficult to evaluate the success of our business to date and to assess prospects for our future viability.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incurred annual net losses since our formation in 2010. For the years ended December 31, 2025 and 2024, we had net losses of $38.4 million and $51.5 million, respectively. As of December 31, 2025, we had an accumulated deficit of $384.7 million. To date, we have financed our operations primarily through equity and debt financings and from product sales. Our net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 and costs related to intellectual property development, protection and enforcement, including our ongoing litigation intellectual property litigation against Alcon Inc., Alcon Vision, LLC and their affiliates (collectively “Alcon”). In addition, as a public company, we incur significant legal, accounting and other expenses that we did not incur as a private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We are highly dependent on revenue from the sales of our products, and our inability to successfully execute our growth strategy could negatively affect our results of operations and financial condition.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began selling VISCO360 and TRAB360, commercial predicate devices to OMNI, in 2015, TearCare in 2019 and SION in 2022, and therefore do not have a long history operating as a commercial company. Currently, we are highly dependent on the success of OMNI and TearCare. We derive revenue from sales of OMNI and SION, our commercially available Interventional Glaucoma products, and our TearCare system and related accessories, which comprise our commercial Interventional Dry Eye products, and we expect substantially all of our revenue in at least the next 12 months to be derived from the sale of these OMNI, SION and TearCare products. We believe that OMNI sales will continue to account for the majority of our revenue over the next twelve months. In the longer term, our growth strategy is dependent in large upon expanding adequate and sustainable reimbursement for TearCare to help drive Interventional Dry Eye revenue growth. Because we devote substantially all of our resources to developing, marketing and selling these products and rely on the sale of our products as our sole source of revenue, any factors that negatively impact our products, particularly factors negatively affecting OMNI or TearCare revenue growth or appropriately reimbursed access to our TearCare procedure,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November 2023, for instance, five of the seven Medicare Administrative Contractors (“MACs”) published proposed local coverage determinations (the “Prior LCDs”) that identified certain non-implantable MIGS procedures as investigational and not reasonable and necessary in the jurisdictions where these MACs administer Medicare Part B benefits, including adult canaloplasty in combination with trabeculotomy (ab interno), a procedure performed with OMNI and for which it is indicated. The Prior LCDs may also have categorized our SION technology as investigational and thus non-covered with respect to goniotomy procedures. The Prior LCDs were withdrawn in late December 2023 prior to becoming effective, and replaced with updated LCDs (the “Final LCDs”) that became effective in November 2024. The Final LCDs allow for continued coverage of canaloplasty and goniotomy procedures performed with our OMNI and SION technologies in these five MAC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jurisdictions. However, each of the Final LCDs adopted a non-coverage policy when an aqueous shunt or stent procedure is performed with another surgical MIGS procedure, such as canaloplasty or goniotomy, at the same time in the same patient eye. This non-coverage policy has resulted in a reduction in overall MIGS claims volumes, which has adversely impacted our business, revenue and prospects. If the remaining two MACs also publish LCDs with the same coverage restriction, we expect an even further decline in MIGS claims volumes. Moreover, it is possible that one or more payors will publish new or updated policies or other determinations in the future that could (i) characterize procedures associated with our products as non-covered, or as covered under more limited parameters; or (ii) establish lower reimbursement for procedures performed with our products. The publication and effectiveness of any such future determinations would adversely affect our business and results of operations. </w:t>
      </w:r>
    </w:p>
    <w:p>
      <w:pPr>
        <w:pStyle w:val="TextBody"/>
        <w:bidi w:val="0"/>
        <w:spacing w:before="0" w:after="120"/>
        <w:jc w:val="both"/>
        <w:rPr>
          <w:rFonts w:ascii="Times New Roman" w:hAnsi="Times New Roman"/>
          <w:sz w:val="20"/>
        </w:rPr>
      </w:pPr>
      <w:r>
        <w:rPr>
          <w:rFonts w:ascii="Times New Roman" w:hAnsi="Times New Roman"/>
          <w:color w:val="000000"/>
          <w:sz w:val="20"/>
        </w:rPr>
        <w:t>Over the next several years, we expect to continue to devote substantial resources to expand our commercialization efforts, drive increased adoption of our products and continue to develop new and improved products. Our limited commercialization experience and number of products make it difficult to evaluate our current business and predict our future prospects. For example, we believe OMNI procedures can be highly effective in reducing IOP in adult POAG patients when performed on a standalone basis</w:t>
      </w:r>
      <w:r>
        <w:rPr>
          <w:rFonts w:ascii="Times New Roman" w:hAnsi="Times New Roman"/>
          <w:color w:val="231F20"/>
          <w:sz w:val="20"/>
        </w:rPr>
        <w:t xml:space="preserve"> without concomitant cataract surgery</w:t>
      </w:r>
      <w:r>
        <w:rPr>
          <w:rFonts w:ascii="Times New Roman" w:hAnsi="Times New Roman"/>
          <w:color w:val="000000"/>
          <w:sz w:val="20"/>
        </w:rPr>
        <w:t xml:space="preserve"> (“Standalone Procedure”). However, we have limited commercial experience with the standalone procedure market segment, and the extent to which we are able to penetrate and grow this market is unknown. If we and other market participants are unable to effectively drive the use of MIGS devices in Standalone Procedures, then our total addressable market will be significantly reduced, which will adversely affect our sales and growth strategy. In addition, a number of factors, including some outside of our control, may render our products less competitive, economically impracticable or obsolete and contribute to fluctuations in our financial results,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and maintain reimbursement coverage for procedures in which our products are used;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reimbursement rates or coverage restrictions instituted by government or commercial payors, such as the coverage limitations on multiple MIGS procedures done at the same time as a cataract surgery included in the Final LCDs, or coverage limitations on our TearCare procedure;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clinical trials or investigations, including perceived inadequacy or insufficiency of evidence supporting the clinical benefits or cost-effectiveness of our products, and the publication of any long-term clinical data that may suggest or conclude that our products are less safe or effective than initially thought;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Positive or negative media coverage, or public, patient and/or physician perception, of our products or competing products and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or effectiveness concerns that arise regarding our products’ currently authorized uses or uses for which we are developing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marketing and sales efforts, including our ability to have a sufficient number of qualified sales representatives to sell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delays in product development or launches;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capital on acceptable terms, or at all, to support the commercialization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and maintain compliance with legal and regulatory requirements applicable to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the ability of our licensors, to obtain, maintain, protect and enforce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ability to supply our products in a timely manner, in accordance with our specifications, and in compliance with applicable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Introduction of new products or alternative treatments that compete with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Our business is dependent upon the broad adoption and continued use of our products by eyecare professionals and patients.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ECPs, including ophthalmologists and optometrists, have limited awareness of, and experience with, our products and brand. Our future growth and profitability largely depend on our ability to increase ECP and patient awareness of our products and their willingness to adopt our products. ECPs may not adopt our products unless they believe they will receive appropriate compensation for such use and are able to determine, based on experience, clinical data, medical society and association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Lack of adequate, equitable third-party payor coverage or reimbursement, or changes in (or new) third-party payor coverage or reimbursement policies or determinations that adversely affect coverage for Interventional Glaucoma and Interventional Dry Eye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lower-priced competitive products, especially competitive products with equivalent or superior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Unwillingness to alter historical practice patterns to incorporate OMNI use in Standalone Procedures into their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experience with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liability risk generally associated with the use of new products and treatment options;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or perceived lack, of sufficient clinical evidence, including with respect to an absence of OMNI randomized controlled trial data, clinical data on long-term outcomes, supporting clinical benefits of our products or the cost-effectiveness of our products over existing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key ophthalmologist and optometrist leaders to support and recommend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Perceptions that our products are unproven;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ECPs’ long-standing relationships with companies, distributors and salespeople that sell competing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activities, including new product introductions, pricing, coding and coverage tactics, and negative selling efforts from providers of equivalent or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ASC and ECP preferences for procedures that may be more profitable than those performed with our products, or for competitive products that are lower priced and thus offer greater profit margins in procedures in which our products are used;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of integrating TearCare into established ophthalmologic and optometric practices in light of ECP practice patterns and preferences, lack of awareness of our TearCare system and its capabilities, and lack of appropriate, equitable reimbursement for procedures involving our TearCare system;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Perceptions regarding the time commitment and skill development that may be required to gain familiarity and proficiency with our Interventional Glaucoma and Interventional Dry Eye products.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effectively market and sell our products, we will need to continue to educate the medical community about the safety, efficacy, necessity and efficiency of our products and about the patient populations that would potentially benefit from the use of our products.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Further, we have experienced recent declines in the numbers of surgeons we are training on the use of OMNI to perform MIGS procedures, and if we are unable to increase ECP training rates, our business and results of operations may suffer.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some physicians may choose to utilize our products on only a subset of their total patient population or may not adopt our products at all. Further, if procedures in which our products are used do not receive and maintain favorable third-party reimbursement coverage, particularly as compared to procedures in which competitive products are used, adoption of our products by ECPs and patients may be slower or more limited than expected. Similarly, if competitive products are priced significantly lower than our products or are considered to offer greater ease of use than our products, then ECPs may elect to use these competitive products, even if we believe that other considerations such as clinical efficacy favor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products. Also, if ECPs prioritize alternative ophthalmic procedures to the procedures in which our products are currently used, whether for clinical, reimbursement or other reasons, then there will be less available surgical capacity to perform procedures using our products.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We may not be able to secure or maintain adequate levels of third-party coverage and reimbursement for procedures in which our Interventional Glaucoma or Interventional Dry Eye products are used, and third parties may rescind or modify their coverage or delay payments related to these products, which would adversely affect our business, financial condition, and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derive revenue from sales of OMNI and SION to physicians, ASCs, and HOPDs, which typically bill all or a portion of the costs and fees associated with our products to various third-party payors, including Medicare, Medicaid, foreign governmental payors, private commercial insurance companies, health maintenance organizations and other healthcare-related organizations, and then bill patients for any applicable deductibles or co-payments. Historically, we have sold our TearCare system components to customers on a limited basis to drive customer awareness and acceptance in advance of reimbursement. We are pursuing broad reimbursement coverage for TearCare so that ECPs can bill all or a portion of the costs and fees associated with this product to a larger swath of third-party payors, including Medicare, Medicaid, private commercial insurance companies, health maintenance organizations, and other healthcare-related organizations, and then bill patients for any applicable deductibles or co-payments. Only recently have payors started establishing more appropriate payment values for CPT code 0563T, the code associated with TearCare procedures. ECPs have begun to receive individual claim-by-claim reimbursements for TearCare services. As a result, access to adequate coverage and reimbursement for procedures in which our Interventional Glaucoma and Interventional Dry Eye products are used by third-party payors is essential to their broad acceptance and adoption by patients and ECPs.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For example, in the third quarter of 2024, certain reimbursement advice published by the United Kingdom’s National Health Service (NHS) had rendered untenable the code that had previously been relied upon as applicable to procedures performed with our OMNI technology. This shift has resulted in reduced reimbursement for OMNI procedures as compared to historic reimbursement levels, which in turn has affected our business, results of operations and prospects in the United Kingdom. Though we are working to establish appropriate reimbursement by NHS for the OMNI procedure, there is no guarantee that we will be successful in addressing this or other reimbursement challenges that we may encounter in the United Kingdom or other international markets in which we market and sell our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third-party payors continually review new and existing technologies for possible coverage and can deny or reverse coverage for new or existing products and procedures, and there can be no assurance that third-party payor policies provide coverage, or will continue to provide coverage, for procedures in which OMNI or our other products are used. For example, in the U.S., the Centers for Medicare &amp; Medicaid Services (“CMS”), MACs or commercial payors could require or issue coverage policies that could restrict or eliminate coverage for the patient populations eligible for treatment with our products, or that are otherwise unfavorable to our business. In June 2023, for instance, five MACs published the Prior LCDs, which identified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Prior LCDs may also have categorized our SION technology as investigational and thus non-covered with respect to goniotomy procedures. Although the Prior LCDs were withdrawn in late December 2023 and replaced with the now-effective Final LCDs which allow for continued coverage of standalone canaloplasty and goniotomy procedures performed with our OMNI and SION technologies in these five MAC jurisdictions, in the future, governmental or private payors may issue coverage policies or guidance that may establish non-coverage, materially restrict coverage, or reduce reimbursement levels for one or more procedures involving our products. Any such policies, determinations or guidance could in turn influence coverage determinations by other third-party payors.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the Final LCDs’ non-coverage policies when an aqueous shunt or stent procedure is performed with another surgical MIGS procedure at the same time in the same patient eye has also adversely affected the market for MIGS devices, including our products. . If the remaining two MACs also publish LCDs with the same coverage restriction, we expect an even further decline in MIGS claims volumes. Adverse coding, coverage or payment determination such as these are not within our control. If we are not successful in reversing any proposed non-coverage policies, or if third-party payors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currently cover or reimburse procedures in which our products are used reverse or limit their coverage in the future, or if other third-party payors issue similar policies negatively impacting reimbursement for our products, it could have a material adverse effect on our business, financial condition, and results of operations. Moreover, any uncertainty with respect to coverage or coding may impact management’s ability to accurately forecast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also derive revenue from sales of TearCare to ECPs and eye care clinics, which bill all or a portion of the costs and fees associated with treatments and products to third-party payors. We believe that access to adequate coverage and reimbursement for procedures in which TearCare is used by third-party payors is important to the broad acceptance and adoption of TearCare. Currently, two MACs, FCSO and Novitas, have established fee schedules for code 0563T that more closely reflect the cost and value of the TearCare procedure. There is no guarantee that other MACs will establish similar fee schedule amounts, or that FCSO and Novitas will maintain their fee schedules for CPT code 0563T at their current levels. Further, MACs from time to time may include, and we are currently aware of two MACs that have included low payment rates for TearCare procedures in their fee schedules. If these low payment rates are not removed or increased to what we believe is an appropriate reimbursement level, they could adversely impact our efforts to achieve reimbursement for TearCare that is sufficient to support its broad commercial growth and adoption. While we will continue to engage with those MACs that currently maintain low fee schedules for the TearCare procedure, there is no guarantee that these MACs will remove these low payment values and replace them with payment values that are sufficient to support widespread customer adoption. It may not be commercially feasible for us to market and sell TearCare in those jurisdictions where reimbursement is not sufficient for TearCare adoption, which in turn would adversely affect our business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commercial payors may from time to time may deny coverage for our TearCare product, which could hamper our efforts to drive broad commercial adoption of TearCare. These determinations could be made with reference to a variety of factors, including our legacy TearCare commercial practices, perceived clinical efficacy compared to other treatment alternatives, and similar considerations.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This strategy is dependent, among other things, on ECPs’ willingness to submit, and their success in submitting, accurate TearCare procedure claims that support appropriate reimbursement, as well as their success in appealing denied or underpaid claims with payors, as needed. If patients are not willing to pay for procedures in which TearCare is used, or if third-party payors other than FCSO and Novitas continue to decline to provide coverage and reimbursement, or provide insufficient levels of reimbursement, it would have a negative impact on ECPs’ adoption of TearCare and sales of TearCare, which could adversely affect our business and results of operations. Further, though CPT code 0563T specifically describes the procedure enabled by the TearCare technology, it is possible that competitors could seek to use, promote for use, or encourage providers to bill under this code with competitive technology. In addition, the code could subsequently be modified or interpreted in a manner to allow competitive products to be billed thereunder, which could adversely affect our business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The majority of potential TearCare patients are insured by commercial payors, If the Company is unsuccessful in establishing formal coverage policies with adequate reimbursement for the TearCare procedure, reimbursed market access for TearCare will be materially limited.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United States, the American Medical Association (“AMA”) generally assigns specific billing codes for procedures under a coding system known as Current Procedural Terminology (“CPT”), which surgeons use to bill third-party payors and receive reimbursement. Once a permanent CPT code ("Category I CPT code") is established for a service, CMS establishes national payment levels under Medicare, while other payors may establish rates and coverage rules independently. Canaloplasty followed by trabeculotomy procedures using OMNI are typically billed using the Category I CPT code 66174, which describes canaloplasty. ECPs may also bill for procedures in which our OMNI product is used under Category I CPT Code 65820, which describes goniotomy procedures. Coding for ophthalmic surgical procedures is complex, and changes to the codes used to report services performed with our products may result in significant changes in reimbursement,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could negatively impact our revenue. For example, the RVS Update Committee ("RUC") of the AMA has regularly reevaluated the physician work associated with CPT code 66174. As a result of these RUC reviews and further conversion factor reductions, CMS has reduced the Medicare Physician Fee Schedule amount associated with this service multiple times from approximately $950 in 2021 to $545 in 2026. These reductions in physician reimbursement have made the use of CPT code 66174 less attractive to ECPS, which in turn has adversely affected our business and results of operation. Many of the factors considered by the RUC, and many of the factors evaluated by payors and other payor advisory bodies, in assessing the costs of, and payments with respect to, procedures associated with our products are not within our control. For instance, with respect to determination of hospital, ASC and physician payment associated with CPT code 66174, evaluation of procedure costs may include the costs of competitive products that are priced well below our products and may also reflect reduced physician work with respect to procedures that are less comprehensive than the procedures performed with OMNI. This, in turn, may adversely affect our ability to obtain and maintain adequate and appropriate levels of reimbursement for the comprehensive procedure enabled by our OMNI technology, which could adversely affect our financial condition and results of operations. Further, if and to the extent that CPT code 65820 or another code describing a goniotomy procedure is established, modified, or revalued by the RUC so as to reduce the payment amount associated with goniotomy procedures, our business and results of operation may be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may establish their own payment rates for services described by Category III CPT codes, as has been the case with TearCare. These payment rates are subject to change, may be variable across Medicare contractors, or may be materially below the reimbursement rates that we are currently targeting for code 0563T. Payors may also determine not to reimburse any services described by Category III CPT codes in the absence of a formal, positive coverage policy for a specific service.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paid at more favorable rates,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market for our products is highly competitive and could grow increasingly competitive as new glaucoma and dry eye technologies are introduced in our industry. Our competitors may have longer operating histories, more established products and distribution networks, lower product prices or greater resources than we do, and may be able to develop or market products that are safer, more effective or gain greater acceptance in the marketplace than our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AbbVie, Novartis, Alcon, Johnson &amp; Johnson, Iantrek, Nova Eye Medical,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ease of use, lower costs or greater ECP and market acceptance than our products. For example, there have been intermittent increases in ECP trialing of new, alternative products, some of which are offered at lower prices than OMNI. This trialing has led in certain instances to adoption of these alternatives products which we believe has adversely impacted utilization of OMNI and OMNI revenue growth.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guarantee that OMNI utilization will return to high growth in the future pursuant to our strategic initiatives. Sustained increases in ECP use of alternative MIGS devices could result in reduced OMNI sales and revenue growth or even loss of market share, which would adversely impact our competitive position, business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despite what we believe to be the strong safety profile of our products for their intended uses, patients may experience adverse events following canaloplasty or trabeculotomy with OMNI, including hyphema, mild anterior chamber inflammation and spikes in intraocular pressure. Similarly, patients may experience adverse events following use of the SION surgical instrument, including anterior chamber shallowing and prolonged or persistent intraocular inflammation, or application of localized heat with TearCare, including discomfort, pain or erythema of the eyelids. Any failure to meet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customer and patient expectations and any resulting negative perceptions or publicity could harm our reputation and future sales and therefore adversely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treatment patterns pursuant to which prescription medications, selective laser trabeculoplasty, traditional glaucoma surgery or more conventional MIGS procedures are generally first-line therapies for the treatment of glaucoma and eye drops or warm-compresses are first-line therapies for the treatment of MGD;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relationships with ECPs who are familiar with their products and procedures for the treatment of glaucoma or MGD-associated 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relationships with key stakeholders, industry associations, including hospital outpatient departments, ambulatory surgery centers, optometrists and ophthalmologists, general practitioners and administrators;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Greater financial and human capital resources;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Significantly greater name recognition;</w:t>
      </w:r>
    </w:p>
    <w:p>
      <w:pPr>
        <w:pStyle w:val="TextBody"/>
        <w:bidi w:val="0"/>
        <w:spacing w:before="0" w:after="120"/>
        <w:jc w:val="both"/>
        <w:rPr>
          <w:color w:val="000000"/>
        </w:rPr>
      </w:pPr>
      <w:r>
        <w:rPr>
          <w:color w:val="000000"/>
        </w:rPr>
        <w:t>•</w:t>
      </w:r>
    </w:p>
    <w:p>
      <w:pPr>
        <w:pStyle w:val="TextBody"/>
        <w:bidi w:val="0"/>
        <w:spacing w:before="0" w:after="120"/>
        <w:jc w:val="both"/>
        <w:rPr>
          <w:color w:val="000000"/>
        </w:rPr>
      </w:pPr>
      <w:r>
        <w:rPr>
          <w:color w:val="000000"/>
        </w:rPr>
        <w:t>“</w:t>
      </w:r>
      <w:r>
        <w:rPr>
          <w:rFonts w:ascii="Times New Roman" w:hAnsi="Times New Roman"/>
          <w:color w:val="000000"/>
          <w:sz w:val="20"/>
        </w:rPr>
        <w:t>First mover” advantages with respect to certain products, technologies and therapeutic offerings such as sustained release glaucoma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 lines of products, and the ability to offer rebates or bundle products to offer greater discounts or incentives to gain a competitive advantage;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Established sales, marketing and worldwide distribution networks.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One of the major hurdles to adoption of our Interventional Glaucoma products will be overcoming established treatment patterns, which will require educating ECPs and supportive clinical data. For instance, we believe strongly in the efficacy of OMNI in Standalone Procedures, but concerted ongoing ECP education on the benefits of this approach is needed to alter surgeon perceptions and to convince them of the benefits of performing a MIGS procedure other than in conjunction with cataract surgery. Because of the size of the market opportunity for devices used in procedures to address MIGS and MGD, especially with the recent establishment of the FCSO and Novitas fee schedules with respect to CPT code 0563T, we believe current and potential future competitors may dedicate significant resources to promote their products or develop new products or treatments. Our Interventional Glaucoma products compete with products such as Glaukos’ iStent® technologies and iDose® TR intraocular implant; Alcon’s Hydrus® MicroStent; Iantrek’s C-Rex and Alloflo, various canaloplasty devices including Nova Eye’s iTrack Advance and New World’s Streamline® and Via360 surgical systems. TearCare competes with numerous DED product offerings, including J&amp;J’s Lipiflow® Thermal Pulsation System and numerous other treatment alternatives.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Whereas OMNI has historically competed in the MIGS marketplace against stent technologies, such as the iStent family of products and the Hydrus® MicroStent, our Interventional Glaucoma product offerings are also facing competition from other microcatheter systems marketed for canaloplasty and goniotomy, and this competition may increase in the future. We also expect TearCare to face increasing competition from DED competitors, who may attempt to challenge, destabilize or take advantage of our increasing reimbursement traction, or undertake or enhance their own reimbursement activities to compete with TearCare. For instance, it is possible that DED competitors may develop products that they seek to position as reimbursable under CPT code 0563T, the procedure code associated with and initially created for the TearCare procedure, or that ECPs may seek reimbursement under CPT code 0563T from FCSO and Novitas (and any other payors who subsequently establish sufficient payment values for procedures billed under this code) for procedures performed using products and treatments other than TearCare.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new treatment options may be developed that could compete more effectively with our products due to the prevalence of glaucoma and MGD-associated DED, and the research and technological progress that exist within the market. Also, even if competitor products do not have indications for use or clinical data that are comparable to ours, ECPs can still choose these competitor products for a variety of reasons, including those discussed above. For instance, competitors may price their products significantly below ours or bundle their products in a manner that is attractive to ECPs, which may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decreased use or adoption of our products by ECPs, notwithstanding that our products may offer superior safety and efficacy.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Adoption of our products depends upon appropriate physician training, practice and patient selection.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our Interventional Glaucoma products. However, ECPs rely on their previous medical training and experience when performing ophthalmic surgical procedures and may deviate from the techniques we provide in training sessions. Furthermore, we cannot guarantee that all such ECPs who use our Interventional Glaucoma products will have the necessary skills or experience to safely and effectively perform these procedures. We have experienced recent declines in the number of ECPs undergoing training on the use of OMNI, which means that fewer physicians are being trained regarding appropriate patient selection and OMNI surgical techniques. If we are not able to stabilize and return our physician training rates to a robust growth trajectory, our business could suffer. Similarly, though we train ECPs to ensure correct use of our Interventional Dry Eye products, including placement of TearCare SmartLids on patients’ eyelids and the expression of the patients' meibomian glands, we cannot guarantee that all such ECPs will have the necessary skills or experience to safely and effectively use these devices. If ECPs utilize our products in a manner that is inconsistent with our labeled indications or with components that are not part of our products, the patient outcomes may be negative. This could negatively impact the perception of patient benefits and safety associated with our products and limit their adoption, which would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Development of our products for expanded indications depends upon positive clinical data, and applicable regulatory authorities may determine that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and our products might prove to be less safe or effective than initially thought.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products that we market in the United States are regulated as medical devices by the FDA. OMNI and TearCare have received premarket clearance under Section 510(k) of the Federal Food, Drug, and Cosmetic Act (“FDCA”).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 SION is registered with the FDA as a Class I 510(k) exempt device.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European Economic Area (“EEA”), a single regulatory approval process exists, and conformity with its requirements is required by its member states and countries to affix a European Conformity (“CE”) mark to our medical devices, without which they cannot be marketed or sold in the EEA. We originally received CE marking for OMNI in 2017. To obtain a CE mark, defined products must meet minimum standards of performance, safety, and quality, and then, according to their classification, undergo a conformity assessment procedure. Except for low-risk medical devices, a conformity assessment procedure requires the intervention of a third-party organization designated by the competent authorities of an EEA country, known as a Notified Body. The competent authorities of the EU countries separately regulate the clinical research for medical devices and the market surveillance of products once they are placed on the market. A revised regulation, the EU MDR was published by the EU in 2017 and became effective on May 26, 2021. Medical devices marketed in the EEA require certification according to these requirements. The EU MDR includes significant additional premarket and post-market requirements, and manufacturers of medical devices are required by the EU MDR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EU markets for so long as we continue to market and sell products in those markets, as well as in the EEA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conducting and intend to continue conducting additional clinical trials or investigations to develop our pre-commercial and commercial devices for new or expanded indications.. Historical clinical results, including interim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are not necessarily predictive of future clinical results, and we cannot assure you that the results reported in these studies will be consistent with, or better than, currently available clinical data. In addition, our competitors and other third parties may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 outcomes and updates resulting from these studies, including interim results, may be compared to the results of other products and treatments for these same patient populations,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 Moreover, if future results and experience with our products by us, our competitors or other third parties, indicate that our products cause unexpected or serious complications or other unforeseen negative effects, we could be subject to mandatory or voluntary product recalls, suspension or withdrawal of FDA, European Commission or other governmental clearance or approval or certifications, significant legal liability or harm to our business reputation,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products will be adopted and compete, in part, based on long-term data regarding patient outcomes and the risk of our products relative to other treatment options. We believe ECPs and third-party payers will compare the rates of long-term clinical outcomes for procedures using our products for their authorized uses against alternative procedures and treatment options. We also believe that ECPs and payers will give added weight to outcomes data derived from randomized controlled trials, which are considered to be the “gold standard” for proving efficacy of a treatment or intervention; while our TearCare SAHARA trial is an RCT, we have not completed an RCT for our OMNI technology, which can be a reimbursement and competitive disadvantage as compared to competitive products with positive RCT data. If the nature and quality of the long-term data does not meet ECPs’ expectations, or if the long-term data indicates that our products are not as safe or effective as other treatment options or as data would suggest, physicians may recommend alternative treatments for their patients and our products may not become widely adopted, which will negatively affect our business, financial condition and results of operations. Further, if we choose to, or are required to, conduct additional studies, equivocal or unfavorable results from such studies or experience could lead to a reduction in the rate of coverage and reimbursement by both public and private third-party payors for procedures that are performed with our products, slow market adoption of our products by ECPs, significantly reduce our ability to achieve expected revenue and prevent us from being profitable.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third parties to manufacture and supply all of our products, and a substantial portion of our products and components are manufactured in China. A number of our suppliers are also single-source providers. We are subject to numerous risks relating to our reliance on such third-party suppliers, including the impact of tariffs on products imported from China.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strategy depends on our ability to manufacture our current and future products in sufficient quantities, on terms acceptable to us, and on a timely basis to meet customer demand, while adhering to product quality standards, complying with regulatory requirements, and managing manufacturing and import costs. We do not have, and do not currently intend to develop, any internal manufacturing capabilities or infrastructure, and we rely on a limited number of third-party manufacturers, many of which are single-source suppliers, for the components, accessories, materials and assembly that we utilize in our products. Specifically, most of our OMNI and SION products, as well as our TearCare SmartLids, are currently produced and assembled by a single Taiwan-based manufacturer in China. These commercial products comprise substantially all of our current revenue. Our suppliers may be unwilling or unable to supply products or components to us reliably and at the levels we anticipate or that are required by our customers, or we may be unable to purchase these items on terms that are acceptable to us, or at all. In an effort to diversify our manufacturing footprint and have product readily available from multiple manufacturing facilities, we are expanding our manufacturing to include additional facilities outside of China in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suppliers must be able to provide us with products and components in compliance with regulatory requirements, including the FDA’s QMSR and other applicable laws or regulations, in accordance with agreed-upon specifications, at acceptable costs and on a timely basis. If our suppliers are unable or unwilling to meet our demand requirements, we may not have enough of our products available for delivery to support ECPs that utilize our products as part of their treatment. For instance, if the supply of our products and components from our manufacturer in China was interrupted or suspended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significant period, we may be unable to meet customer demand for these products during that time. Our ability to obtain products and components in sufficient quantities and on a timely basis from our suppliers may be limited for several reasons, including quality issues at their manufacturing facilities, damage to their manufacturing equipment or facilities, problems with their own suppliers, inability to obtain components required for our products, their financial difficulties, our relative importance as a customer to each supplier, or prohibitive cost increases associated with importing items from certain regions where our suppliers are located. Any shortfall in the supply of our products may result in lower adoption and utilization rates of our products by ECPs, as well as harm to our reputation, either of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Geopolitical tensions between the U.S. and China, and between the U.S. and other countries, have created considerable political and economic unrest and uncertainty that may adversely impact our business. As discussed above, most of our products are currently produced and assembled at a manufacturing facility in China, and we are expanding manufacturing to include additional facilities outside of China in 2026. There is currently significant uncertainty about the relationship between the U.S. and China with respect to a number of geopolitical issues, including trade policies, government regulations and tariffs, and we expect this uncertainty will continue in future periods.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Commencing in February 2025, the U.S. imposed a significant new tariff on products imported from China. The tariff rate has fluctuated significantly since its inception and may continue to vary materially in the future depending on a number of factors, including the regulatory regime under which the current U.S. administration seeks to apply the tariff. This tariff applies to all of our products and product components imported from China. China has responded with certain retaliatory tariffs, and the U.S. and China could implement additional retaliatory tariffs. The U.S. tariff on China exports has increased the cost of our products and components and will likely have a negative impact on our gross margins for as long as it remains in effect. There can be no assurance that U.S. tariff rate on products imported from China will not increase or materially and adversely affect our cost of goods sold in the future. Any further escalation in the use of retaliatory trade tariffs between the U.S. and China could cause a further increase in the cost of our products and components. There is also the risk that new tariffs could be implemented with other U.S. trading partners. These tariffs may cause supply chain disruptions and will also likely increase the shipping and other logistical costs involved in importing our products and components, which would further adversely impact our gross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September 2025, the U.S. Department of Commerce Bureau of Industry and Security announced that a Section 232 investigation was initiated to assess the effects on national security of imports of personal protective equipment, medical consumables, and medical equipment, including devices. If this investigation concludes that there is a national security risk associated with these imports, the President could impose trade restrictions or tariffs on these imports, including our products, which could further increase the cost of our products and components. The imposition of tariffs or other restrictions as a result of this Section 232 investigation could cause supply chain disruptions and would also likely increase the shipping and other logistical costs involved in importing our products and components, which would further adversely impact our gross margins, if enacted. Further, as a result of the United States Supreme Court’s February 2026 decision finding that the tariffs issued by the U.S. administration under the International Emergency Economic Powers Act are unconstitutional, the administration has turned to other legal and regulatory regimes to support the continued implementation of the tariffs, including initial reliance on Sections 122 and 301 of the of the Trade Act of 1974. This has created additional uncertainty regarding the U.S. administration’s execution of its tariff strategy.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partially mitigate these risks, we are evaluating additional manufacturing locations to produce and assemble our products and are in the process of establishing additional manufacturing lines outside of China. However, at least through 2026, we expect the substantial majority of our products will continue to be manufactured in China, and will therefore continue to be subject to the prevailing tariff rates. In addition, the additional third-party manufacturing locations we have identified are also located in countries subject to U.S. tariffs on imports from those countries, which could adversely impact our gross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process of identifying and qualifying additional manufacturing facilities could be time-consuming and expensive, result in interruptions in our operations, cause delays in the supply of our products, or affect the quality or performance specifications of our products. We cannot assure you that we will be able to identify and engage additional contract manufacturers on terms similar to our current arrangements or that are otherwise favorable to us. In addition, we cannot guarantee that the costs associated with obtaining products and components from an additional manufacturer, including any associated tariffs, will be lower than the costs associated with obtaining products from our current manufacturers, or that any reduction in the costs will be sufficient to offset the cost of adding new manufacturers. Furthermore, any change in our manufacturers could require us to complete another qualification process at the manufacturer’s facility, and there is no guarantee the facility would pass our quality audit. The occurrence of any of these events could increase our operating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or harm our ability to meet the demand for our products in a timely manner, either of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do not typically enter into long-term supply agreements with our third-party manufacturers and do not anticipate doing so in the near term. Accordingly, we will continue to be subject to the risk that our suppliers can cancel our agreements on relatively short notice, or that we will be unable to renew or extend contracts and arrangements with such third parties on terms that are favorable to us, or at all. These risks are likely to be exacerbated by our limited experience manufacturing our current products and negotiating agreement terms with third-party manufacturers.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demand for our products increases, we will have to invest additional resources to manage the manufacturing process. If we fail to secure increased production capacity efficiently, we may not be able to respond to customer demand on a timely basis, our sales may not increase in line with our expectations, and our operating margins could fluctuate or decline. In addition, the manufacture of future products may require modification of our current production processes, the identification of new suppliers for specific components, sub-assemblies and materials, or the development of new manufacturing processes or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Uncertainty in current global economic and political conditions could adversely affect our ability to predict product demand and costs and impact our financial results, and makes it more likely that our results will differ materially from expectations.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and performance depend in part on worldwide economic and political conditions. Certain of the jurisdictions in which our products are manufactured or sold have experienced and could continue to experience unfavorable general economic conditions, such as a recession or economic slowdown, including as a result of political instability and military hostilities in certain geographies, trade disputes,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provide inadequate training, fail to maintain effective sales and marketing capabilities or fail to develop broad brand awareness in a cost-effective manner.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we currently rely on our direct sales force and any failure to maintain and grow our sales force could harm our business. In Europe, we currently rely on a combination of direct sales personnel and independent distributors to sell our OMNI product, and we intend to grow our international sales through a combination of direct and distributor sales. In order to generate future growth, we plan to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increase our customer base and achieve broader market acceptance of our products will depend, to a significant extent, on our ability to maintain and expand effective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Further, our sales results are dependent in large part on the efforts and effectiveness of our sales and marketing personnel, and underperformance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these functions, whether though sub-optimal marketing campaigns, problematic sales representative performance or otherwise, may adversely impact our product sales and reputation.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limited experience in training ECPs on, and marketing and selling, our TearCare products, which could adversely affect customer perceptions and adoption of our TearCare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sold our TearCare products since 2019. We do not have experience selling TearCare with a large sales force and concerted sales initiatives. Thus, the number of eligible ECPs trained on TearCare remains relatively modest. If we are unable to expand and enhance our training efforts to target and effectively train existing and new ECP customers on our TearCare products, adoption of TearCare will be adversely impacted. Further, we have limited experience with marketing TearCare. Our marketing and sales campaigns have been limited in scope and have continued to evolve as we better understand the needs and preferences and knowledge gaps of our existing and prospective TearCare customers, and as we expand our library of clinical evidence supporting the TearCare procedure’s safety and efficacy, but these efforts may not be successful in driving TearCare adoption.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we have limited experience marketing and selling TearCare for use in procedures that are reimbursed by Medicare and other governmental payers. If we are unable to effectively train our personnel on, and to otherwise comply with, laws, regulations and guidelines applicable to federally reimbursed products, including regulations pertaining to kickbacks, false claims, interactions with ECPs and direct-to-consumer advertising, our business may suffer.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 which could adversely impact our results of operations and our growth expectations.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total addressable markets for our products are subject to change and may be limited by various factors, including FDA or other regulatory restrictions or more narrowly defined indications, ECP practice preferences, and governmental and private payor reimbursement practices, any of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our estimates of the total addressable markets for our products are based on a number of internal and third-party assumptions and estimates, including, without limitation, the number of patients with POAG and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we seek to maintain sufficient levels of inventory to protect ourselves from supply interruptions, we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material changes in product reimbursement, failure to accurately manage our expansion strategy, product introductions by competitors, unanticipated increases or decreases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Inventory levels in excess of customer demand may result in a portion of our inventory becoming obsolete or expiring, as well as inventory write-downs or write-offs, which would negatively impact our gross margins and impair the strength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long-term growth depends on our ability to continue to capture market share, enhance our products, maintain appropriate product reimbursement, expand our indications and develop and commercialize additional products in a timely manner. If we fail to identify, acquire and develop other products as needed, we may be unable to grow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by competitive products offered at lower prices, or by material changes in reimbursement affecting our products. Our continued growth will be driven in large part by growth of TearCare revenues in reimbursed jurisdictions, and capture of market share from our competitors through a combination of factors, including competitive positioning, increasing ECP acceptance and use of OMNI for Standalone Procedures, re-engagement of customer accounts that decrease or cease utilization of our products, engagement of new customer accounts, and robust ECP training on our products to drive product awareness and acceptance. If we are unable to execute on these initiatives, our ability to increase our market share may be compromised, which would adversely affect our business and results of operations. Also, if we are unable to innovate successfully or offer our products at prices that are deemed competitive by our customers,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 strong relationships with ECPs;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Assemble sufficient resources to acquire or discover additional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Properly identify and anticipate physician and patient needs;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 and introduce new products and product enhancements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Receive adequate and equitable coding, coverage and reimbursement for procedures performed with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Avoid infringing upon, misappropriating or otherwise violating the intellectual property rights of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Demonstrate, if required, the safety and efficacy of new products with data from preclinical studies and clinical trials or investigations;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the necessary regulatory clearances, certifications or approvals for expanded indications, new products or product modifications;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Comply with the requirements of FDA and similar foreign regulatory authorities regarding the marketing of new devices or modified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Produce new products in commercial quantities at an acceptable cost;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adequate training to potential users of our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 an effective and dedicated sales and marketing team.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development programs. Our failure or inability to devote adequate research and development resources or compete effectively with the research and development programs of our competitors could harm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may choose to focus our efforts and resources on potential products or indications that ultimately prove to be unsuccessful, or to license or purchase marketed products that do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These fluctuations may occur due to a variety of factors, many of which are outside of our control, including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level of demand for our products which may vary significantly;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coverage and reimbursement policies with respect to the procedures in which our products and our competitors' products are used, and potential future products that compete with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Results of clinical trials or investigations involving the use of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decisions or announcements, including product recalls, and product labeling and reimbursement determinations;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Expenditures that we may incur to acquire, develop or commercialize additional products and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marketing efforts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Pricing pressures;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rate at which we grow our sales force and the speed at which newly hired salespeople become effective;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degree of competition in our industry and any change in the competitive landscape of our industry, including consolidation among our competitors or future partners;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Positive or negative coverage in the media or clinical publications of our products or products of our competitors or our industry;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customer orders or medical procedures using our products and the number of available selling days in any quarterly period, which can be impacted by holidays, the mix of products sold and the geographic mix of where products are sold;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costs of enforcing and defending our intellectual property rights, whether through litigation or otherwise;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of manufacturing our products, which may vary depending on the quantity of production and the terms of our agreements with third-party suppliers;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an effort to reduce costs, many clinics and hospitals in the United States, including some of our customers, are members of Group Purchasing Organizations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having a contract with a GPO or an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an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has and may create additional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Any decline in the amount that payors reimburse our customers for procedures that use our Interventional Glaucoma products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unable to manage the anticipated growth of our business, including anticipated growth in our Interventional Dry Eye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grow, we need to expand our commercial team and general and administrative infrastructure. In addition to the need to scale our organization, any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are in the process of scaling our TearCare commercial infrastructure in response to the establishment by FCSO and Novitas of jurisdiction-wide pricing for procedures billed under CPT code 0563T, the code that describes the procedure performed by TearCare. If we are unable to identify, hire and train enough personnel to educate and train customers in these jurisdictions on use and clinical benefits of TearCare, and to otherwise increase our commercial infrastructure capacity to support anticipated growth, we may not be able to fully realize the attendant revenue opportunities. If we are unable to manage our growth effectively, it may be difficult for us to execute our business strategy and our business could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products may become obsolete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need additional funding to finance our planned operations, and may not be able to raise capital on acceptable terms, if at all, which could force us to delay, reduce or eliminate our product development programs and commercialization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inception, we have incurred significant net losses and expect to continue to incur net losses for the foreseeable future. Our operations have been financed primarily by net proceeds from the sale of our convertible preferred stock in private placements and the sale of our common stock in our initial public offering, revenue from sales of our products and secured indebtedness. As of December 31, 2025, we had $92.0 million in cash and cash equivalents, and an accumulated deficit of $384.7 million. Based on our current planned operations, we expect that our cash and cash equivalents and additional borrowings available under our credit facility (subject to satisfaction of certain conditions precedent) will enable us to fund our operations for at least the next 12 months. We have based these estimates on assumptions that may prove to be wrong, including our assumptions that our Interventional Dry Eye revenues will begin to ramp in 2026, Interventional Glaucoma revenue will grow, procedures in which our OMNI and SION technologies are used will continue to be adequately reimbursed, s, our TearCare procedure will continue to be reimbursed in the FCSO and Novitas jurisdictions at the initially established payment values, and payors in addition to FCSO and Novitas will establish equitable reimbursement for the TearCare procedure . If one or more of these assumptions are not met, we could utilize our available capital resources sooner than we expect.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including certain pharmaceutical product candidates, which will continue to increase our expenses. Accordingly, our future capital requirements will depend on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degree and rate of market acceptance of our products and procedures, as well as the revenue generated by sales of our products and the gross profits and gross margin we realize from such sales;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Whether we obtain and maintain reimbursement sufficient to drive continued use and adoption of our products and procedures;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and timing of investment in our sales force and expansion of our commercial organization;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rate of progress and cost of our current or future clinical trials or investigations and registries;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of our medical device and pharmaceutical research and development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and timing of additional regulatory clearances, certifications or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attaining, defending, protecting and enforcing our intellectual property rights, including our ability to preserve or enhance the damages awarded to us as the result of the April 2024 positive jury trial verdict in our patent litigation with Alcon;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Repayment of debt;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we acquire third-party companies, products or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emergence of competing technologies or other adverse market developments;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and our competitors’ ability, to obtain and maintain favorable reimbursement for our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performance of our international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result of these and other factors, 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initial public offering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bear the risk of potential warranty claims on our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enter into collaborations, in-licensing arrangements, joint ventures, strategic alliances or partnerships with third parties that may not result in the development of commercially viable products or product improvements or the generation of significant future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enter into collaborations, in-licensing arrangements, joint ventures, strategic alliances, partnerships or other arrangements to develop new products or product improvements and to pursue new markets.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 and could be terminated prior to developing any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Disputes between us and any collaborators we may have in the future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depend on our senior management team and the loss of one or more key employees or an inability to attract and retain highly skilled employees will negatively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success depends largely on the continued services of key members of our executive management team and others in key management positions. For example, the services of Paul Badawi, our Chief Executive Officer, David Badawi, our Chief Technology Officer and Alison Bauerlein, our Chief Operating Officer, are essential to driving innovation and adoption of our products, executing on our corporate strategy and ensuring the continued operations and integrity of financial reporting within our company. In addition, the services of our commercial leadership and sales professionals are critical to driving the growth in sales of our products. Any of our employees may terminate their employment with us at any time. We currently maintain a key person life insurance policy on Paul Badawi and David Badawi. If we lose one or more key employees, we may experience difficulties in competing effectively, developing our technologies and implementing our business strategy, which in turn would negatively affect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market price of our common stock approaches or falls below the exercise price of their vested and unvested option shares. Substantial declines in the market price of our common stock will also reduce the effectiveness of any restricted stock unit or other equity incentive awards in attracting and retaining employees, especially within the current highly competitive labor market.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products are cleared or authorized by the FDA and certified in the EU to be marketed for certain specific intended uses. If physicians elect to use our products in manners outside of the intended uses that have been cleared, authorized,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certified,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a significant amount of debt, which may affect our ability to operate our business and secure additional financing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January 2024, we entered into a Loan and Security Agreement (the “Hercules Loan Agreement”) with Hercules Capital, Inc. (“Hercules”) and certain affiliates of Hercules (collectively with Hercules, the “Lenders”), which provides for a senior secured term loan facility in the aggregate principal amount of up to $65.0 million (the “Term Loan”). An initial tranche of $35.0 million and a second tranche of $5.0 million were funded under the Hercules Loan Agreement in January 2024 and December 2024, respectively, and up to an additional $25.0 million of borrowings are available subject to the Lenders approval. There is no guarantee that we will be able to borrow additional amounts under the Hercules Loan Agreement. The Term Loan accrues interest at a floating annual rate based on the greater of (i) 10.35% or (ii) the Wall Street Journal prime rate (the "Prime Rate") plus 2.35%. Accrued interest on the Term Loan is payable monthly in arrears. Upon an event of default under the Hercules Loan Agreement, the interest rate will automatically increase by an additional 3.0% per annum. As of December 31, 2025 we had an aggregate of approximately $40.0 million in principal borrowings outstanding. Our interest payments under Hercules Loan Agreement have diverted and will continue to divert resources from our operations and other activities. We incurred an aggregate interest expense of $5.1 million and $4.7 million in the years ended December 31, 2025 and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obligations under the Hercules Loan Agreement are collateralized by a security interest in substantially all of our assets. The Hercules Loan Agreement contains customary representations and warranties, affirmative covenants, negative covenants, financial covenants, events of default and other provisions and conditions. The affirmative covenants, among over things, require us to undertake various reporting and notice requirements and an obligation to maintain and enforce certain rights, approvals and assets. The negative covenants restrict our ability to, among other things and subject to certain exceptions contained in the Hercules Loan Agreement, incur new indebtedness; create liens on assets; engage in certain fundamental corporate changes, such as mergers and acquisitions; change our business activities; and make investments or restricted payments, in each case subject to customary exceptions. The negative covenants also restrict our ability to change our fiscal year, repay certain indebtedness, engage in certain affiliate transactions, or enter into, amend or terminate any other agreements that has the impact of restricting our ability to make loan repayments under the Hercules Loan Agreement. In addition, we are subject to certain financial covenants under the loan agreement pertaining to minimum cash and minimum revenue thresholds. The covenants related to the Hercules Loan Agreement, as well as any future financing agreements into which we may enter, may restrict our ability to finance our operations and engage in, expand or otherwise pursue our business activities and strategies. Our ability to draw down further amounts under our Hercules Loan Agreement is contingent upon us meeting certain conditions precedent. Any failure to meet these conditions could prevent us from accessing non-dilutive capital under the Hercules Loan Agreement if needed, which could require us to seek additional funding from other sources, which additional capital may not be available or may only be available on terms less favorable than those that would otherwise be available under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While we believe that we have not previously breached and are not currently in breach of these or any other covenants contained in the Hercules Loan Agreement, there can be no guarantee that we will not breach these covenants in the future. Our ability to comply with these covenants may be affected by events beyond our control, and future breaches of any of these covenants could result in a default under the Hercules Loan Agreement. If not waived, future defaults could cause all of the outstanding indebtedness under the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problems assimilating the purchased technologies, products, or business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dilutive issuances of equity securities, the use of our available cash, or the incurrence of debt, which could harm our operating results;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issues maintaining uniform standards, procedures, controls, and policies;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costs and liabilities associated with acquisitions;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diversion of management’s attention from our core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adverse effects on existing business relationships with suppliers and customers;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risks associated with entering new markets in which we have limited or no experience;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loss of key employees of acquired businesses;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increased legal and accounting compliance costs, as well as potential litigation costs, arising out of the acquisition or investment.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 current commitments with respect to any acquisition or investment. Under the Hercules Loan Agreement, we are restricted in our ability to pursue certain mergers, acquisitions, amalgamations or consolidations that we may believe to be in our best interest.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We take measures to implement and update policies and procedures designed to ensure compliance with applicable data security and privacy-related laws and regulations and protect sensitive information from unauthorized access or disclosure. However, our information technology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including artificial intelligence (AI) tools,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the result of certain reimbursement and similar services that we provide to our customers, we may from time to time have access to personal health information, or PHI, as defined under the federal Health Insurance Portability and Accountability Act of 1996, as amended by the Health Information Technology for Economic and Clinical Health Act, or HITECH, and their implementing regulations, which we collectively refer to as HIPAA, and related state laws, rules and regulations. When we perform these services, we enter into a Business Associate Agreement with such customers, and are deemed to be a “Business Associate” as defined under HIPAA. As a Business Associate, we are subject to enforcement by the U.S. Department of Health and Human Services Office of Civil Rights, or OCR, which may impose significant penalties on a Business Associate for a failure to comply with an applicable requirement of HIPAA. Penalties may include civil monetary penalties, criminal monetary penalties and imprisonment. The U.S. Department of Justice, or the DOJ, is responsible for criminal prosecutions under HIPAA. State attorneys general also have the right to prosecute HIPAA violations committed against residents of their states. While HIPAA does not create a private right of action that would allow individuals to sue in civil court for HIPAA violations, its standards have been used as the basis for the duty of care in state civil suits, such as those for negligence or recklessness in misusing individuals’ health information. Furthermore, in the event of a breach as defined by HIPAA, we may be required to comply with specific reporting requirements under HIPAA regulations, including notifying affected individuals, our customers, and governmental authorities, which could result in significant costs, reputational harm, and regulatory authority.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ever-increasing use and evolution of technology, including cloud-based computing and AI and machine learning, creates opportunities for the unintentional dissemination or intentional destruction of confidential information stored in our or our third-party providers’ systems, portable media or storage devices. For example, companies continue to experience increases in phishing and social engineering attacks from third parties, including increasing use of AI-driven tools.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Further, our own use of AI may increase the attack surface for our data. If our AI models are poisoned (adversarial attacks) or if the sensitive data used to train our AI models is breached, it could exacerbate the loss of intellectual property and, or, unauthorized disclosure of our confidential information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have partially mitigated these risks by purchasing cybersecurity insurance. However, such insurance will not necessarily cover all costs and impacts related to these risks.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Also, as we increasingly incorporate AI and machine learning into our internal business processes, our cybersecurity risk may evolve and grow. If these AI tools are inefficient, defective, or produce inaccurate results (e.g., 'hallucinations'), our operational efficiency, decision-making, and financial results could be negatively impacted. Furthermore, our reliance on third-party AI models or cloud service providers may subject us to service interruptions or performance issues outside of our control.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international business operations expose us to market, legal, regulatory, political, operational, financial and economic risks associated with doing business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current international presence is focused in the United Kingdom and the European Union, and we may seek to expand our international operations in the future. Our international business strategies have historically included securing additional regulatory and reimbursement approvals in targeted countries outside the United States, and establishing a direct or indirect commercial presence in such countries. These strategies may include establishing and maintaining physician outreach and education capabilities outside of the United States, developing and expanding our relationships with international payors, and creating targeted commercial strategies relevant to each target market. Doing business internationally involves a number of risks,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staffing and managing our international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Multiple, conflicting and changing laws and regulations such as tax laws, privacy laws, export and import restrictions, employment laws, regulatory requirements and other governmental approvals, permits and licenses;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or varied protection for intellectual property rights in some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Obtaining regulatory clearance, certification or approval where required for our products in various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Requirements to maintain data and the processing of that data on servers located within such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Complexities associated with managing multiple payor reimbursement regimes, government payors or patient self-pay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Limits on our ability to penetrate international markets if we are required to manufacture our products locally;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the site-of-service for use of our products and the economics related thereto for physicians, providers and payors;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foreign currency exchange rates and costs associated with hedging against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disasters, political and economic instability, including wars, such as the current military conflict between Russia and Ukraine and the crisis in the Middle East, terrorism, political unrest, outbreak of disease, boycotts, curtailment of trade and other market restrictions;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and compliance risks that relate to maintaining accurate information and control over activities subject to regulation under the United States Foreign Corrupt Practices Act of 1977 ("FCPA"), U.K. Bribery Act of 2010 ("Bribery Act”), and comparable laws and regulations in other countries.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of these factors could significantly harm our international business operations and, consequently,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current law, federal net operating losses (“NOLs”) incurred in tax years beginning after December 31, 2017, may be carried forward indefinitely, but the deductibility of such federal NOLs is limited to 80% of taxable income. It is uncertain if and to what extent various states will conform to federal tax laws. As of December 31, 2025, we had accumulated federal and state NOL carryforwards of approximately $323.3 million, and $266.9 million, respectively. Of the total federal NOL carryforwards, approximately $308.5 million were generated after January 1, 2018, and therefore do not expire under current law but can only be utilized to offset 80% of future taxable income. The remaining federal NOL carryforwards of $14.8 million will begin to expire in 2031, and state tax loss carryforwards continue to expire.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Uncertainties in the interpretation and application of existing, new and proposed tax laws and regulations could materially affect our tax obligations and effective tax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4, 2025, the United States enacted federal tax legislation commonly referred to as the One Big Beautiful Bill Act (“OBBBA”). Included in this legislation are provisions that allow for the immediate expensing of domestic United States research and development expenses, immediate expensing of certain capital expenditures and other changes to the U.S. taxation of profits derived from foreign operations. Future guidance from the Internal Revenue Service with respect to OBBBA may affect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European subsidiaries, have enacted with effect from January 1, 2024, or are in the process of enacting, core elements of the Pillar Two rules. Based on our current understanding of the minimum revenue thresholds contained in the Pillar Two proposal, we do not expect to fall within the scope of its rules in the short-to-medium term. We continue to monitor developments and evaluate the potential impacts and applicability of these new rules on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could be adversely affected by violations of the FCPA and similar worldwide anti-bribery laws, anti-boycott and anti-money laundering laws and export regulations, and the outcome of any investigation, by government agencies of possible violations by us of these laws and regulations could have a material adverse effect on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FCPA prohibits companies and their intermediaries from making improper payments to foreign officials for the purpose of obtaining or retaining business. Other anti-corruption or anti-bribery laws, such as the Bribery Act,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including further changes or enhancements to our procedures, policies, and controls, as well as potential personnel changes and disciplinary 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we are subject to anti-boycott laws, anti-money laundering laws, and the export controls and economic embargo rules and regulations of the U.S., including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business and reputation.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Epidemic diseases, or the perception of their effects, have and may have an adverse effect on our business, financial condition, results of operations, and 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Outbreaks of infectious diseases could divert medical resources and priorities towards the treatment of that disease. An outbreak of an infectious disease could also negatively affect the decision by ECPs to perform (and by patients to undergo) elective surgery or office-based procedures, which could decrease demand for procedures using our products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ambulatory surgery centers and optometrists’ offices.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success will depend on our, and our licensors’, ability to obtain, maintain and protect our intellectual property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commercial success depends in part on our ability to obtain and maintain patent and other intellectual property protection in the United States and other countries. We rely on patent protection, as well as a combination of copyright, trade secret and trademark laws, to protect the proprietary aspects of our technology and our brands, and to prevent others from developing and commercializing products that violate our intellectual property rights. However, these means may afford only limited protection and may not prevent our competitors from duplicating our products, prevent our competitors from gaining access to our proprietary information and technology, or permit us to gain or maintain a competitive advantage.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or obtain statutory damages, the copyright must be registered. Accordingly, the remedies and damages available to us for unauthorized use of our software may be limited.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existing and future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patent applications and the enforcement or defense of issued patents. In 2011, the Leahy-Smith America Invents Act ("Leahy-Smith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example,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party to, and may in the future become a party to intellectual property litigation or administrative proceedings that can be costly, time-consuming, unsuccessful, and could interfere with our ability to sell and market our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Competitors may infringe our patents or trademarks, or we may be required to enforce our patents or trademarks to protect our technology, customer goodwill and product branding. We may also be required to file suit to protect our trade secrets or may be involved in litigation defending against claims of infringement of the rights of others. In addition, our patents and trademarks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or trademark owned by us is invalid or unenforceable. Furthermore, even if our patents and trademarks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prevent us from using the infringing trademark in our business, or prevent us from manufacturing, selling or using the infringing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16, 2021, we filed suit in the U.S. District Court for the District of Delaware (C.A. No. 1:21-cv-01317) (the “Court”) alleging that Ivantis, Inc. (“Ivantis”) directly and indirectly infringes our U.S. Patent Nos. 8,287,482, 9,370,443,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9,486,361, and 10,314,742 by making, using, selling, and offering for sale the Hydrus® Microstent. Our complaint sought money damages and injunctive relief. On January 24, 2022, Ivantis asserted counterclaims requesting declaratory judgments that our asserted patents-in-suit are not infringed and/or invalid. On August 1, 2022, we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our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we were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held an in-person hearing to brief the parties’ oral arguments on their post-trial briefings at the conclusion of which, the Court ordered the parties to engage in non-binding mediation. In early March 2025, we and Alcon informed the Court that we had not resolved our dispute through mediation and asked the Court to decide the parties’ post-trial motions and enter a judgment, which judgment will be subject to appeal. It is possible that the jury verdict that was rendered in our favor may be reduced, limited or vacated by the Court or by the appellate court if appealed. We are presently unable to predict the outcome of this lawsuit or to reasonably estimate the potential financial impact of the lawsuit on us, if any. In June 2025, Alcon filed petitions with the U.S. Patent Office for ex parte reexaminations of the three patents that we asserted at trial, challenging the validity of each of these patents based on prior art patents and publications. In September 2025, the Central Reexamination Unit (CRU) of the U.S. Patent Office decided to proceed with the reexaminations and this reexamination process, which may include multiple levels of appeals, is currently underway, It is possible that the April 2024 jury verdict in the Company’s favor, including its ability to collect past damages and ongoing royalties, may be materially and adversely impacted if the reexamination proceedings result in final, non-appealable determinations that the asserted claims of the patents-in-suit are either invalid or must be amended, in either case before a final, non-appealable judgment is entered by the Court in the separate patent infringement litigation.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protect the confidentiality of our other proprietary information, our business and competitive position may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seeking patent protection for our products,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to limit access to employees, partners, and service providers who have a need to know the information and who are bound by confidentiality obligations regarding such information. While we have confidence in these individuals, organizations and systems, agreements or security measures may be breached, and we may not have adequate remedies for any breach. In addition, our trade secrets may otherwise become known, or be independently discovered by, competitors.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biotechnology or pharmaceutical companies, including our competitors or potential competitors. Some of these employees and consultants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as described above.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A loss of key personnel or their work product could hamper or prevent our ability to commercialize our products, which could have an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trademarks and tradenames are not adequately protected, then we may not be able to build name recognition in our markets and our business may be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For instance, we are currently involved in trademark litigation in the United Kingdom and the European Union that was initiated by another party regarding the use of our OMNI trademark. If we do not prevail in this litigation, we may be required to abandon the use of the OMNI trademark in the United Kingdom and Europe, which could adversely affect our business in these markets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Our products, business practices, and operations are subject to extensive government regulation and oversight in the United States and elsewhere.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products are regulated as medical devices by the FDA and foreign regulatory authorities.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approval, and certification;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and foreign regulatory authorities enforce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approvals, or certifications; withdrawals or suspensions of current approvals or certifications, resulting in prohibitions on sales of our products; and in the most serious cases, criminal penalties.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receive, or may be delayed in receiving, necessary clearances, certifications or approvals for our future products or modifications to our current products, and failure to timely obtain or retain such clearances, certifications or approvals would adversely affect our ability to grow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U.S., before we can market a new medical device, or a new use of, new claim for or significant modification to an existing product, we must first receive either clearance under Section 510(k) of the FDCA (“510(k)”), or approval of a pre-market approval application (“PMA”) from the FDA, unless an exemption from pre-market review applies. In the process of obtaining PMA approval, the FDA must determine that a proposed device is safe and effective for its intended use based, in part, on extensive data, including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U.S., we have obtained clearance from the FDA of OMNI and TearCare through the 510(k) clearance process and SION is registered with the FDA as a Class I 510(k) exempt device. Any further modification to these products or their intended uses may require us to submit new regulatory filings, including new 510(k) premarket notifications to obtain clearance, or PMA submissions to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Both the PMA approval and the 510(k) clearance process can be expensive, lengthy and uncertain. The 510(k) clearance process usually takes from three to 12 months, whereas the process of obtaining a PMA generally takes from one to three years, or even longer, from the time the application is submitted to the FDA. In addition, government shutdowns could delay the submission process, requiring us to postpone product launches. Further, despite the time, effort and cost, a device may not be approved or cleared by the FDA.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We have experienced clearance delays in the past as the result of FDA feedback and direction regarding 510(k) submissions for both our OMNI and TearCare product iterations. These clearance delays have required us to postpone product launches, which in turn have adversely affected our business. In addition, as the result of FDA feedback, we have also in the past been required to materially alter or abandon proposed product enhancements or new product development. While these types of regulatory delays are common for medical device manufacturers that interact with the FDA, these delays introduce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development and clearance risk that can negatively affect our business. Further, regulatory enforcement or inquiries, or other increased scrutiny on us, could dissuade some customers from using our products and adversely affect our reputation and the perceived safety or efficacy of our products. In addition, even if we are granted regulatory clearances or approvals, they may include significant limitations on the indicated uses for the device, which may limit the market for the device.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safe or effective for their intended uses;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disagreement of the FDA with the design or conduct of our clinical trials or the interpretation of data from preclinical studies or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or approval, where required;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potential for approval policies or regulations of the FDA to change significantly in a manner rendering our clinical data or regulatory filings insufficient for clearance or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Subject to the transitional provisions and in order to sell our products in EU member states, our products must comply with the general safety and performance requirements of the EU MDR, which repeals and replaces the Medical Devices Directive. Compliance with these requirements is a prerequisite to be able to affix the CE mark to our products, without which they cannot be sold or marketed in the EU.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MDR or cause a substantial change to the intended use for which the device has been CE Marked. The notified body will then assess the planned changes and verify whether they affect the products’ ongoing conformity with the EU MDR. If the assessment is favorable, the notified body will issue a new certificate of conformity or an addendum to the existing certificate attesting compliance with the general safety and performance requirements and quality system requirements laid down in the Annexes to the MDR.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5, 2023, we received approval of the OMNI Surgical System family of products under the EU MDR fulfilling these requirements. As a result of the transition towards the new regime, notified body review times have lengthened, and obtaining re-certification of our products, seeking product introductions or modifications could be delayed or canceled, which could adversely affect our ability to grow our business in the EU.</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aforementioned EU rules are generally applicable in the EEA. Non-compliance with the above requirements would also prevent us from selling our products in these three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We may incur significant liability if it is determined that we are promoting off-label uses of our products in violation of federal and state regulations in the United States or elsewhere.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though we have obtained clearance from the FDA for OMNI and TearCare and registration for SION in the U.S. and certifications for OMNI in the EU, we are subject to ongoing and pervasive regulatory requirements governing, among other things, the manufacture, marketing, advertising, medical device reporting, sale, promotion, import, export, registration, and listing of devices.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February 2022, we received communications from the FDA regarding the appropriateness of the marketing and distribution of our legacy TearCare Systems as a 510(k)-exempt device without premarket notification to and authorization from the FDA. We conducted a voluntary recall of our legacy TearCare system because the FDA informed us that the legacy system’s advanced technology made it ineligible for an exemption from 510(k) clearance. Further, this voluntary recall did not involve the new version of the TearCare system, which has received premarket clearance from the FDA and will remain on the market. We provided notice to the FDA in the fourth quarter of 2022 that we had completed all activities associated with the recall and had closed our files.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 or consequences: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Untitled letters, warning letters or adverse publicity;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or refusal to grant our requests for future clearances or approvals or foreign clearance, certification or approval of new products, new intended uses, or modifications to existing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Withdrawals or suspensions of 510(k) clearances or certifications or Class I registrations, or requirements for new 510(k) or PMA clearances, certifications, or approvals, resulting in prohibitions on sales of our products pending such further clearance or certification;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FDA refusal to issue certificates to foreign governments needed to export products for sale in other countries;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of these sanctions could result in higher than anticipated costs or lower than anticipated sales and have a material adverse effect on our reputation, business, financial condition and results of operations. In addition, the FDA and foreign regulatory authorities may change their clearance or certification policies, adopt additional regulations or revise existing regulations, or take other actions, which may prevent or delay clearance, approval, or certification of our future products under development or impact our ability to modify our currently cleared or certified products on a timely basis. Such policy or regulatory changes could impose additional requirements upon us that could delay our ability to obtain new clearances, approvals, or certifications, increase the costs of compliance or restrict our ability to maintain our clearances and certifications of our current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 recall or suspension of our products, or the discovery of serious safety issues with our products, could have a significant negative impact on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methods used in, and the facilities used for, the manufacture of our products must comply with the FDA’s QMSR and, subject to transitional provisions, the EU Medical Device Regulation (“EU MDR”),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Our products are also subject to similar state regulations, various laws and regulations of foreign countries governing manufacturing and a requirement for adherence to industry standards of the International Standards Organization ("ISO") in connection with our medical device operations outside of the United States. Failure by us or one of our third-party suppliers to comply with applicable FDA or foreign requirements or later discovery of previously unknown problems with our products or manufacturing processes could result in, among other things civil penalties, suspension or withdrawal of clearances, seizures or recalls of our products, total or partial suspension of production or distribution, refusal to grant pending or future clearances, approvals, or certifications for our products, clinical holds, refusal to permit the import or export of our products, and criminal prosecution. Furthermore, regulatory authorities have broad discretion to require the recall or suspension of a product or to require that manufacturers alert customers of safety risks. A government-mandated or voluntary recall or suspension by us, one of our distributors or any of our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under the FDA’s medical device reporting regulations and similar foreign regulations,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 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received ISO 13485:2016 certification for our quality management system. ISO certification generally includes recertification audits every third year, scheduled annual surveillance audits and periodic unannounced audits.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can provide no assurance that we will be found to remain in compliance with the QMSR or ISO standards upon a regulator’s review. If the FDA, other regulator, or notified body, inspect or audit any of our manufacturers’ facilities and discovers compliance problems, we may have to cease manufacturing and product distribution until we can take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do not obtain and maintain applicable regulatory registrations, clearances, certifications or approvals for our products, we will be unable to market and sell our products outside of the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The laws and regulations that may affect our ability to operate include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Anti-Kickback Statute, which prohibits, among other things, individuals and entities from knowingly and willfully soliciting, offering, receiving or providing remuneration (including any kickback, bribe or rebate), directly or indirectly, in cash or in kind, to induce either the referral of an individual or furnishing or arranging for a good or service, for which payment may be made, in whole or in part, under federal healthcare programs, such as Medicare and Medicaid;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and state civil and criminal false claims laws and civil monetary penalties laws, including the federal civil False Claims Act, which prohibit, among other things, individuals and entities from knowingly presenting, or causing to be presented, claims for payment from Medicare, Medicaid, state Medicaid programs, other third-party payors, or other federal healthcare programs that are false or fraudulent;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individuals and entities from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HIPAA, which created additional federal criminal statutes that prohibit, among other things, executing a scheme to defraud any healthcare benefit program and making false statements relating to healthcare matters;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Federal disclosure laws, such as the Physician Payments Sunshine Act, which require certain applicable manufacturers of drugs, devices, biologics and medical supplies for which payment is available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Medicare, Medicaid or CHIP to report annually to the CMS information related to payments and other transfers of value to physicians, which is defined broadly to include other healthcare providers, and teaching hospitals, and to report annually ownership and investment interests held by physicians and their immediate family members;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laws and regulations regarding billing and claims payment applicable to our products and regulatory agencies enforcing those laws and regulations;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Analogous state and foreign law equivalents of each of the above federal laws, such as anti-kickback and false claims laws, which may apply to items or services reimbursed by any third-party payor, including commercial insurers or patients; state marketing-compliance and gift-ban laws;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laws and regulations, among other things, constrain our patient support program, business practices, marketing and other promotional and research activities by limiting the kinds of financial arrangements, including consulting arrangements, reimbursement support, discounts, rebates, or other sales programs, we may have with hospitals, ambulatory surgery centers, physicians or other potential purchasers of our products. Although we structure these relationships and arrangements to comply with applicable legal and regulatory requirements, they could nevertheless be scrutinized or challenged as influencing the purchase or use of our products.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enforce compliance with the healthcare regulatory laws, certain enforcement bodies have increased their scrutiny of interactions between healthcare companies and healthcare providers, which has led to investigations, prosecutions, convictions and settlements in the healthcare industry. Responding to investigations can be time 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and could result in a material adverse effect on our reputation.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found to have violated laws concerning the privacy and security of patient health information or other personal information, we could be subject to civil or criminal penalties, which could increase our liabilities or harm our reputation or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conduct of our business, we may at times collect, store, and process personal information, including health-related personal information. The U.S. federal government and various states and regulatory agencies, including the U.S. Department Health and Human Services, have adopted or proposed laws, regulations, guidelines and rules for the collection, distribution, use and storage of personal information, including personal health information, of individuals. These laws include HIPAA and related regulations, as well as the CCPA and similar state privacy and data security laws. In connection with any reimbursement support we provide to customers, we receive, use, and/or disclose health-related personal information. When proving such support, we as a Business Associate under HIPAA and are directly subject to HIPAA’s privacy, security, and breach-notification requirements, as well as the terms of our Business Associate Agreements. In addition, certain state and non-U.S. laws, such as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actual or perceived failure by us or the third parties with whom we work to comply with privacy or security laws, policies, legal obligations or industry standards, or any security incident that results in the unauthorized access,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Compliance with environmental laws and regulations could be expensive, and the failure to comply with these laws and regulations could subject us to significant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price of our common stock may fluctuate substantially or may decline regardless of our operating performance and you could lose all or part of your investment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price of our common stock may be highly volatile and may fluctuate or decline substantially as a result of a variety of factors, some of which are beyond our control or are related in complex ways,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analysts’ estimates, investors’ perceptions, recommendations by securities analysts or our failure to achieve analysts’ estimates;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reimbursement coverage by current or potential payors, including new or updated local or national coverage determinations by one or more MACs;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or anticipated quarterly variations in our or our competitors’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Periodic fluctuations in our revenue, which could be due in part to the way in which we recognize revenue;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trading volume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market conditions and other factors unrelated to our operating performance or the operating performance of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the medical device industry in particular;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or anticipated changes in regulatory oversight of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results of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including changes in our board of directors or management;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recalls or other problems associated with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Legislation or regulation of our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announcement of new products or product enhancements by us or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Announced or completed acquisitions of businesses or technologies by us or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related to patents issued to us or our competitors and related litigation;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Developments in our industry.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In addition, notwithstanding their subsequent withdrawal in late December 2023, the publication of the Prior LCDs, as amended, by five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of the seven MACs in June 2023, which would have rendered canaloplasty followed by trabeculotomy (ab interno), a procedure associated with our OMNI technology, investigational and thus non-covered in these MAC jurisdictions, adversely affected our business and prospects and resulted in a substantial decline in the market price of our common stock. Although the Prior LCDs were withdrawn before becoming effective, the Final LCDs that became effective in November 2024 contain certain restrictions on billing for MIGS procedures that have had an adverse impact on our OMNI sales results. We believe that past reimbursement determinations by CMS and commercial payors have contributed to ongoing uncertainty among investors and other stakeholders regarding the coverage and reimbursement environment for procedures in which our products are used, which uncertainty continues to adversely affect our business and stock price. If new or updated LCDs, national coverage determinations, or other material coverage or reimbursement updates or determinations are published that could or would adversely affect coverage for procedures involving our OMNI technology, our business and prospects would be further adversely affected and our financial condition and results of operation could suffer.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past, stockholders have instituted securities class action litigation against issuers following periods of stock price volatility. We previously have had plaintiff class action firms announce the commencement of investigations pertaining to our compliance with securities laws in the wake of a drop in our stock price following our release of certain revised revenue guidance. Though we have yet to be subject to any securities litigation, the risk of such litigation is heightened at times when our financial performance and stock price are under pressure.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public company, we are required to comply with the SEC’s rules implementing Sections 302 and 404 of the Sarbanes-Oxley Act of 2002 (the “Sarbanes-Oxley Act”), which require management to certify financial and other information in our quarterly and annual reports and provide an annual management report on the effectiveness of controls over financial reporting.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identify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classified board of directors with three-year staggered terms, which may delay the ability of stockholders to change the membership of a majority of our board of directors;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board of directors to alter our bylaws without obtaining stockholder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General Corporation Law (“DGCL”) of the State of Delaware, which prohibits a person who owns 15% or more of our the outstanding voting stock of a corporation from engaging in any “business combination” (as such term is defined under Section 203 of the DGCL) with us such corporation for a period of three years after the date of the transaction in which the person acquired 15% or more of our the corporation’s outstanding voting stock, unless the business combination is approved in a prescribed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left"/>
        <w:rPr>
          <w:rFonts w:ascii="Times New Roman" w:hAnsi="Times New Roman"/>
          <w:sz w:val="20"/>
        </w:rPr>
      </w:pPr>
      <w:bookmarkStart w:id="7" w:name="item_1c_cybersecurity"/>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recognize the critical importance of protecting our information technology ("IT") systems and the data of our employees, customers, patients, and partners. We have an enterprise-wide cybersecurity program designed to identify, detect, investigate, protect, and respond to cybersecurity risks.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Nominating and Corporate Governance Committee of the Board of Directors oversees our cybersecurity programs and cybersecurity team, which are led by our Vice President of Information Technology. At least semi-annual reviews are presented by the Vice President of Information Technology to the Nominating and Corporate Governance Committee demonstrating the cybersecurity practices and controls, mitigation activities, current threat levels, emerging cybersecurity threats, training initiatives, breaches, and results from any penetration testing. In addition, cybersecurity risk management is part of the enterprise risk management program and is reviewed by the Audit Committee at least annually.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developed an information security policy ensuring that our cybersecurity objectives are established and compatible with our strategic direction. The goal of this policy is to protect our informational assets against reasonably foreseeable internal, external, and accidental threats. Identifying and assessing cybersecurity risk is integrated into our overall risk management processes. Cybersecurity risks related to our business, operations, privacy, and compliance are identified and managed through third party assessments, internal IT audits, governance, risk and compliance reviews.</w:t>
      </w:r>
    </w:p>
    <w:p>
      <w:pPr>
        <w:pStyle w:val="TextBody"/>
        <w:bidi w:val="0"/>
        <w:spacing w:before="0" w:after="240"/>
        <w:jc w:val="both"/>
        <w:rPr>
          <w:rFonts w:ascii="Times New Roman" w:hAnsi="Times New Roman"/>
          <w:color w:val="231F20"/>
          <w:sz w:val="20"/>
        </w:rPr>
      </w:pPr>
      <w:r>
        <w:rPr>
          <w:rFonts w:ascii="Times New Roman" w:hAnsi="Times New Roman"/>
          <w:color w:val="231F20"/>
          <w:sz w:val="20"/>
        </w:rPr>
        <w:t>Our policies and approach to cybersecurity include several key elements: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Continuous Monitoring and Defense: We work to protect our environments and products from threats through multi-layered defenses. We utilize data analytics to detect anomalies and search for cyber threats. Our Security Operations Center provides comprehensive, around the clock, cyber threat detection and response capabilities.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Third-Party Software Risk Assessment: We complete security audits on all third-party platforms prior to selection.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Incident Response Plan: Our Incident Response Plan includes the investigation steps and notifications required on all actual and suspected information security incidences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Cybersecurity Training Programs: Our training program is multi-faceted and focused on awareness of new techniques that threat actors utilize both in the corporate environment, as well as their personal lives. Employees undergo regular training on information security best practices, including interactive training to confirm understanding and test employee skills.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Compliance Policy: Mandatory compliance with all cybersecurity programs, including applicable legislative and regulatory requirements.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Third-Party Cybersecurity Plan Assessment: We regularly engage with cybersecurity professionals in reviewing our cybersecurity plan.</w:t>
      </w:r>
    </w:p>
    <w:p>
      <w:pPr>
        <w:pStyle w:val="TextBody"/>
        <w:bidi w:val="0"/>
        <w:spacing w:before="0" w:after="240"/>
        <w:jc w:val="both"/>
        <w:rPr>
          <w:rFonts w:ascii="Times New Roman" w:hAnsi="Times New Roman"/>
          <w:sz w:val="20"/>
        </w:rPr>
      </w:pPr>
      <w:r>
        <w:rPr>
          <w:rFonts w:ascii="Times New Roman" w:hAnsi="Times New Roman"/>
          <w:color w:val="000000"/>
          <w:sz w:val="20"/>
        </w:rPr>
        <w:t>To date, the Company is not aware of any cybersecurity threats, including any prior cybersecurity incidents that have materially affected or are reasonably likely to materially affect the Company, including our business strategy, results of operations, or financial condition. However, as discussed under the heading, “</w:t>
      </w:r>
      <w:r>
        <w:rPr>
          <w:rFonts w:ascii="Times New Roman" w:hAnsi="Times New Roman"/>
          <w:i/>
          <w:color w:val="000000"/>
          <w:sz w:val="20"/>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r>
        <w:rPr>
          <w:rFonts w:ascii="Times New Roman" w:hAnsi="Times New Roman"/>
          <w:color w:val="000000"/>
          <w:sz w:val="20"/>
        </w:rPr>
        <w:t xml:space="preserve"> in Part I, Item 1A, “Risk Factors,” the Company remains subject to evolving cybersecurity risks that could have adverse impacts.</w:t>
      </w:r>
    </w:p>
    <w:p>
      <w:pPr>
        <w:pStyle w:val="TextBody"/>
        <w:bidi w:val="0"/>
        <w:spacing w:before="0" w:after="120"/>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corporate headquarters are in Menlo Park, California, where we lease approximately 11,000 square feet of office, research and development, engineering and laboratory space pursuant to a lease that commenced on August 1, 2021. On January 29, 2026, the Company amended this lease to extend the term from October 31, 2026 to December 31, 2028. We also lease approximately 2,000 square feet of office space, which is primarily used by our commercial team, in Southlake, Texas, pursuant to a lease that commenced on April 30, 2019 and expires on May 15, 2026. We believe that our 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facilities are adequate to meet our business requirements in the near-term, and that additional space will be available on commercially reasonable terms, if required.</w:t>
      </w:r>
    </w:p>
    <w:p>
      <w:pPr>
        <w:pStyle w:val="TextBody"/>
        <w:bidi w:val="0"/>
        <w:spacing w:before="0" w:after="120"/>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set forth under Note 6, Commitments and Contingencies, "Legal Proceedings," to our consolidated financial statements included in this Annual Report on Form 10-K is incorporated herein by reference. </w:t>
      </w:r>
    </w:p>
    <w:p>
      <w:pPr>
        <w:pStyle w:val="TextBody"/>
        <w:bidi w:val="0"/>
        <w:spacing w:before="0" w:after="120"/>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120"/>
        <w:jc w:val="both"/>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Market for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common stock has been listed on The Nasdaq Global Market under the symbol “SGHT” since July 15, 2021. Prior to this date, there was no public market for our common stock.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February 26, 2026, there were approximately 7 holders of record of our common stock. The actual number of stockholders is greater than this number of holders of record and includes stockholders who are beneficial owners but whose shares are held in street name by brokers and other nominees.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July 14, 2021, our registration statement on Form S-1 (File No. 333-257320) relating to our initial public offering ("IPO") of common stock became effective. The IPO closed on July 15, 2021, at which time we issued 11,500,000 shares of our common stock at a price of $24.00 per share.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IPO as described in our final prospectus dated July 14, 2021 and filed with the SEC on July 15, 2021 pursuant to Rule 424(b) under the Securities Act.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have never declared or paid cash dividends on our capital stock. We currently intend to retain all available funds and future earnings, if any, to fund the operation,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Item 201(e) of Regulation S-K.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Recent Sales of Unregistered Securities from Registered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sales of unregistered equity securities during the fiscal year ended December 31, 2025 that were not previously reported in a Quarterly Report on Form 10-Q or Current Report on Form 8-K.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both"/>
        <w:rPr>
          <w:rFonts w:ascii="Times New Roman" w:hAnsi="Times New Roman"/>
          <w:b/>
          <w:color w:val="000000"/>
          <w:sz w:val="20"/>
        </w:rPr>
      </w:pPr>
      <w:bookmarkStart w:id="12" w:name="item_6_selected_financial_data"/>
      <w:bookmarkEnd w:id="12"/>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13" w:name="item_7_managements_discussion"/>
      <w:bookmarkEnd w:id="13"/>
      <w:r>
        <w:rPr>
          <w:rFonts w:ascii="Times New Roman" w:hAnsi="Times New Roman"/>
          <w:b/>
          <w:color w:val="000000"/>
          <w:sz w:val="20"/>
        </w:rPr>
        <w:t>Item 7. Management’s Discussion and Analysis of Financial Condition and Results of Operations.</w:t>
      </w:r>
    </w:p>
    <w:p>
      <w:pPr>
        <w:pStyle w:val="TextBody"/>
        <w:bidi w:val="0"/>
        <w:spacing w:before="0" w:after="120"/>
        <w:jc w:val="both"/>
        <w:rPr>
          <w:rFonts w:ascii="Times New Roman" w:hAnsi="Times New Roman"/>
          <w:sz w:val="20"/>
        </w:rPr>
      </w:pPr>
      <w:r>
        <w:rPr>
          <w:rFonts w:ascii="Times New Roman" w:hAnsi="Times New Roman"/>
          <w:i/>
          <w:color w:val="231F20"/>
          <w:sz w:val="20"/>
        </w:rPr>
        <w:t>You should read the following discussion and analysis of our financial condition and results of operations together with the information presented in our financial statements and the related notes included in this Annual Report on Form 10-K. This discussion contains forward-looking statements based upon current plans, expectations, and beliefs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of this Annual Report on Form 10-K titled “Special Note Regarding Forward-Looking Statements.”</w:t>
      </w:r>
      <w:r>
        <w:rPr>
          <w:rFonts w:ascii="Times New Roman" w:hAnsi="Times New Roman"/>
          <w:color w:val="231F20"/>
          <w:sz w:val="20"/>
        </w:rPr>
        <w:t xml:space="preserve"> </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Overview</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comprehensively understanding disease physiology;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0" w:after="120"/>
        <w:jc w:val="both"/>
        <w:rPr>
          <w:rFonts w:ascii="Times New Roman" w:hAnsi="Times New Roman"/>
          <w:sz w:val="20"/>
        </w:rPr>
      </w:pPr>
      <w:r>
        <w:rPr>
          <w:rFonts w:ascii="Times New Roman" w:hAnsi="Times New Roman"/>
          <w:color w:val="231F20"/>
          <w:sz w:val="20"/>
        </w:rPr>
        <w:t>O</w:t>
      </w:r>
      <w:r>
        <w:rPr>
          <w:rFonts w:ascii="Times New Roman" w:hAnsi="Times New Roman"/>
          <w:color w:val="000000"/>
          <w:sz w:val="20"/>
        </w:rPr>
        <w:t>ur initial product development has focused on the treatment of two of the world’s most prevalent and underserved eye diseases, glaucoma and dry eye disease (“DED”). We have commercialized products in each of our two reportable operating segments, Interventional Glaucoma and Interventional Dry Eye. Our Interventional Glaucoma revenue consists of sales of our OMNI® Surgical System family of products (“OMNI”), currently comprised of our Ergo Series OMNI Surgical System and OMNI Edge Surgical System, and the SION® Surgical Instrument (“SION”), while our Interventional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sell OMNI directly in the United Kingdom and Germany, and indirectly in several other countries in Europe through distributors.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(“HOPDs”), which are typically reimbursed by Medicare (or similar foreign governmental reimbursement entity) or private payors for procedures using our products. We are focused on educating surgeons on the clinical benefits of earlier interventions with the comprehensive OMNI and TearCare procedures, driving TearCare revenue growth in the jurisdictions where appropriate payment values have been established for the TearCare procedure, expanding equitable reimbursed access to the TearCare procedure in other jurisdictions, engagement efforts with accounts, enhanced competitive counter selling, investments in targeted commercial resources including growth of our TearCare commercial infrastructure, and development of the OMNI pseudophakic standalone market.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sell TearCare to ECPs, where eyecare providers perform evacuation of meibomian glands, using heat-delivered through wearable, open-eye eyelid treatment devices and manual expression, which TearCare is specifically designed for.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continuing our TearCare commercial launch while focusing on our comprehensive, clinical data-driven, long-term market development plan that aims to improve awareness and patient access to TearCare. In addition, in the areas where appropriate fee schedules have been established for the TearCare procedure, we are focusing our commercial resources on supporting providers in these specific geographies to drive utilization. Our strategy is focused on driving adoption and utilization through our experienced sales, marketing, and customer support teams who are already dedicated to the dry eye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market, and the ECP customers who have previously purchased TearCare SmartHubs in these states. We are also targeting new ECP customers in these states based on their current treatment approaches to DED and also focus on our Interventional Glaucoma customers in these states who may also benefit from adding TearCare to their treatment offerings.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dedicated meaningful resources to execute our commercial strategy, while also seeking to reduce operating expenses and improve cost efficiencies to better align our operating structure for long-term, profitable growth. In the third quarter of 2025, we implemented a targeted restructuring plan in which we reduced our headcount by approximately 20% of our global workforce, and reduced our operating expenses, principally by (i) delaying certain research and development project spend while prioritizing near term pipeline projects, (ii) reducing our selling, general, and administrative operating expenses by implementing measures to limit marketing, travel, and administrative costs, and (iii) not backfilling certain open and planned headcount. As part of this restructuring, we also executed changes to our operations in the United Kingdom (“UK”) which included elimination of three general and administrative and sales management roles.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current suppliers will be adequate to meet our current and anticipated manufacturing needs across all of our product lines. However, as part of our long-term manufacturing strategy, we are actively expanding third party manufacturing capacity and options for our products, which we expect to be available to us starting in 2026 for certain products. We plan to continue to utilize third-party contract manufacturers for our products and any related components.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Revenue in our Interventional Glaucoma segment for the years-ended December 31, 2025 and 2024 was $75.7 million and $75.9 million, respectively, with gross margins for the same periods of 86.8% and 87.6%, respectively. Revenue in our Interventional Dry Eye segment for the year-ended December 31, 2025 and 2024 was $1.6 million and $4.0 million, respectively, with gross margins for the same periods of 59.3% and 46.2%, respectively. For the years ended December 31, 2025 and 2024, we generated more than 90% of our revenue from customers in the U.S.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Interventional Glaucoma revenue was down slightly for the year ended December 31, 2025 compared to the same period in 2024 due to a number of factors, including reimbursement coverage changes and increased competition from other minimally invasive glaucoma surgery (“MIGS”) devices. These reimbursement changes were primarily restrictions on the performance of multiple MIGS procedures in combination with cataract surgery for Medicare patients in the jurisdictions administered by the five MACs that issued the local coverage determinations (“LCDs”) containing such restrictions. We believe that these restrictions, which became effective in the fourth quarter of 2024, led to a decrease in the number of overall MIGS devices used in procedures that are being performed, including procedures utilizing our OMNI technology.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Interventional Dry Eye revenue was down for the year ended December 31, 2025 compared to the same period in 2024 due to lower demand. Lower demand was the result of a shift in strategy to focus on establishing equitable market access for the TearCare procedure, which took effect in the fourth quarter of 2024. While we established pricing with two MACs as of October 2025, there is no guarantee as to the timing of reimbursement decisions or the amount of reimbursement, if any, with other payors. Given the earlier stage of TearCare’s commercial development, we expect our Interventional Dry Eye segment’s gross margins to be lower than our Interventional Glaucoma segment’s gross margins for the near- and medium-term due to the allocation of fixed labor and overhead costs to the segment's cost of goods sold.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expect Interventional Dry Eye gross margin to improve over time as market access expands, although these improvements may be partially offset by the impact of tariffs.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Interventional Glaucoma market segment with a focus on pseudophakic patients whose IOP is not well-controlled on two or more medications and who are at risk of disease progression, and (iii) increasing customer advocacy and pursuing reimbursement including expanding coverage and/or payment for TearCare;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enhance and improve upon our existing product technologies;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allow us to create transformational and interventional technology innovation with new products, devices or drugs, in glaucoma and ocular surface disease or in new eye disease areas.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and/or equity financing to fund our operations and planned growth.</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Factors Affecting Our Business and Results of Operations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believe there are several important factors that have impacted and that will continue to impact our business, financial condition, and results of operations. For additional information on risk factors that could impact our results, please refer to the sections entitled “Risk Factors” in this Annual Report on Form 10-K.</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These factors affecting our business and results of operations include, but are not limited to:</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Product Development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believe our product development approach is a key differentiator of our team and our company. We are focused on continuous innovation and design and utilize input from our network of expert employees (including ophthalmologists on staff), advisors and customers to rapidly iterate our pre-and post-commercial product designs with the aim of better satisfying the needs of our customers and their patients, delivering the most effective, safe, and consistent outcomes, and increasing adoption and utilization of our solutions. We believe it is critical to our product development approach to comprehensively understand the disease physiology, treat the underlying causes with an interventional mindset, and create products with an intuitive design and strong clinical evidence.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Once our products are launched, our customer feedback loop helps us further develop our products. This is particularly evident in the evolution of OMNI, which originated from the combined functionality of two internally developed, commercial predicate devices, each of which had their own multiple commercial iterations. Our future growth is dependent on our ability to continue innovating and applying our expertise of disease physiology to improve existing products and develop new products.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brought OMNI Edge to the market in the first half of 2025. The addition of OMNI Edge was done to accommodate varying physician preferences and patient needs in today’s evolving MIGS marketplace. OMNI Edge is designed to increase the amount of viscoelastic delivered with our patented motion synchronized delivery system to ensure the consistency, reproducibility, and safety surgeons have come to trust in the OMNI procedure. With this product, we are further advancing procedural intervention and reinforcing our commitment to best serving both our surgeon customers and the patients they care for. The addition of OMNI Edge reflects our ongoing dedication to enhancing outcomes and supporting the evolving needs of the eye care community.</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Reimbursement Rates and Coverage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the U.S., healthcare providers use separate billing codes to report the provision of medical procedures and use of supplies to third-party payors, such as government programs or private insurance, and seek reimbursement for all or a portion of those costs. Physician fee payment rates for products covered by temporary Current Procedural Terminology (“CPT”) codes are set by the multi-state, regional contractors, or Medicare Administrative Contractors (“MACs”), which are responsible for administering Medicare claims. MACs have in the past, and may in the future, change coverage terms, and there can be no assurance that coverage and adequate reimbursement will be obtained from, or maintained by, the MACs.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November 2024, five of the seven MACs adopted a non-coverage policy when an aqueous shunt or stent procedure is performed with another surgical MIGS procedure, such as canaloplasty or goniotomy, at the same time in the same patient eye. We believe the non-coverage determination for multiple MIGS procedures reduced and may continue to reduce overall MIGS procedure claims volumes, which may adversely impact our business, revenue and prospects. Any updated or new local coverage determinations or other coverage policies that may establish a policy of Medicare non-coverage, or materially restrict coverage, for one or more of our products would have materially and adversely impacted our business, financial condition, and results of operations.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October 2025, two MACs, Novitas and FCSO, each established jurisdiction-wide pricing, effective retroactively to January 1, 2025, for CPT code 0563T, which is specifically associated with procedures using TearCare. In jurisdictions outside of those covered by Novitas and FCSO, there is still no meaningful reimbursement coverage by Medicare or private payors for DED procedures, including TearCare, and patients are typically paying out-of-pocket for TearCare procedures, although some payors may agree to provide case-based coverage outside of a formal policy. We plan to continue to engage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with other MACs, third-party payors, the clinical societies, and other stakeholders in continued support of patient access for interventional meibomian gland disease procedures performed with the TearCare System; however, there can be no guarantee that other third-party payors, including other MACs, will provide similar reimbursement coverage and/or payment decisions, if at all, for DED procedures, including TearCare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 reimbursement for our products is critical to the adoption of our products, and we plan to continue to focus on improving and expanding reimbursement coverage and payment amounts for our Interventional Glaucoma technologies, and establishing and enhancing reimbursement coverage and payment amounts for our Interventional Dry Eye technology.</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Market Education and Training on the Benefit of Our Products vis-à-vis Existing Treatment Alternatives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support to adopt and continue to safely use our products. We believe that increasing acceptance and usage of our products will require continued investment in our sales force and education efforts to ensure ECPs, patients and third-party payors learn more about our products and appreciate our benefits to their target patient populations.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Maximizing Product Usage by Customers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Demand for our products will be highly dependent on our ability to develop their potential addressable markets and maximize the breadth of patients our products can serve. Our ability to establish OMNI as a standard of care for POAG patients by continuing to grow its adoption and utilization in Combination Cataract Procedures and by pioneering the development of the market for interventional Standalone Procedures, with a focus on pseudophakic patients, will have a substantial impact on our future growth.</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introduced our SION Surgical Instrument in 2022. SION satisfies the American Academy of Ophthalmology definition of goniotomy and is registered with the FDA as a Class I 510(k) exempt device. Our ability to establish SION as a product with differentiated ease of use, safety and efficacy will be an important driver of SION’s commercial growth and success.</w:t>
      </w:r>
    </w:p>
    <w:p>
      <w:pPr>
        <w:pStyle w:val="TextBody"/>
        <w:bidi w:val="0"/>
        <w:spacing w:before="0" w:after="120"/>
        <w:jc w:val="both"/>
        <w:rPr>
          <w:rFonts w:ascii="Times New Roman" w:hAnsi="Times New Roman"/>
          <w:sz w:val="20"/>
        </w:rPr>
      </w:pPr>
      <w:r>
        <w:rPr>
          <w:rFonts w:ascii="Times New Roman" w:hAnsi="Times New Roman"/>
          <w:color w:val="231F20"/>
          <w:sz w:val="20"/>
        </w:rPr>
        <w:t>TearCare is a unique open-eye heating and expression device designed to melt and remove meibomian gland obstructions. We believe TearCare has a compelling physiological profile to address obstruction from meibomian gland disease ("MGD"), which is the primary cause of evaporative DED, a disease characterized by low quality tears that evaporate prematurely. The current DED treatment market primarily consists of an abundance of OTC and prescription eyedrops that seek to lubricate the ocular surface, alleviate inflammation and/or increase</w:t>
      </w:r>
      <w:r>
        <w:rPr>
          <w:rFonts w:ascii="Times New Roman" w:hAnsi="Times New Roman"/>
          <w:color w:val="000000"/>
          <w:sz w:val="20"/>
        </w:rPr>
        <w:t xml:space="preserve"> </w:t>
      </w:r>
      <w:r>
        <w:rPr>
          <w:rFonts w:ascii="Times New Roman" w:hAnsi="Times New Roman"/>
          <w:color w:val="231F20"/>
          <w:sz w:val="20"/>
        </w:rPr>
        <w:t>tear production. However, OTC and prescription eyedrops are incapable of clearing obstructions in the meibomian glands and do not address MGD’s eyelid-borne physiology and poor tear quality. MGD is associated with up to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market education on TearCare and the benefits of proactive MGD treatment will be key drivers of TearCare’s future growth. We believe that sufficiently reimbursed patient access to the TearCare procedure is necessary to drive broad customer acceptance and adoption.</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Operational Excellence and Cost Efficiency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aim to achieve operating and financial milestones with optimal capital efficiency, and focus on our market value relative to invested capital as a key measurement of our performance. Utilizing the capital raised through our equity and debt financings (our December 31, 2025 cash and equivalents was $92.0 million), we have developed and commercially launched multiple clinically differentiated products, funded multiple completed and ongoing clinical trials, and built our management team and company infrastructure to support the continued growth of our business. We believe this level of operational and commercial progress relative to our total capital investment to date compares favorably to medical technology peers and we seek to design products that can achieve attractive long-term gross margins.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During the year ended December 31, 2025, global and regional economies, as well as the markets we serve, have experienced significant volatility, including as a result of the impacts of macroeconomic conditions, such as tariffs, inflation,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supply shortages, and geopolitical pressures. For example, in February and March 2025, the United States imposed additional tariffs on products from China. A significant portion of our OMNI and SION products, and certain of our TearCare system components, are produced and assembled in China by a Taiwan-based manufacturer. While we plan to diversify our third-party suppliers, these tariffs, as well as any future tariffs, by the United States or other countries could significantly increase the cost of our products and components, and could have a negative impact on our gross margins. However, the impact of any such tariffs will depend upon various factors, including the timing, amount, scope, and nature of the tariffs.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While the impact of these macroeconomic factors is not readily determinable, we have not been materially impacted by these macroeconomic conditions, but there can be no assurance that our business operations and financial condition will not be materially adversely affected in the future. The duration and scope of these conditions cannot be predicted with certainty, and it is uncertain what impacts, if any, these pressures may have on our ability to support the efficient and sustainable growth of our business.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Components of Our Results of Operations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Revenue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currently derive the majority of our U.S. revenue from the sale of our OMNI and SION products to ASCs and HOPDs and from the sale of our TearCare products to ECPs. To date, the revenue from our Interventional Glaucoma segment has accounted for the vast majority of our total revenue, substantially all of which was generated from sales within the U.S. Our Interventional Glaucoma customers place orders based on their expected procedure volume.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years ended December 31, 2025 and 2024.</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growth of our revenue is primarily dependent upon the demand for elective surgery and in-office treatment utilizing our products in the United States and Europe, product reimbursement rates and coverage criteria, and competition. Such demand can be subject to seasonality patterns such as lower demand during summer months because of ECP vacations and lower demand in winter months because of fewer business or surgery days due to holidays and adverse weather conditions.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Cost of Goods Sold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Gross Profit and Gross Margin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calculate gross profit as revenue minus cost of goods sold. We calculate gross margin as gross profit divided by revenue. Our gross profit and gross margin have been, and we believe they will continue to be, affected by a variety of factors, including differences in segment gross profit and gross margins, changes in average selling prices, changes in product reimbursement rates, product sales mix, production and ordering volumes, manufacturing, tariff and freight costs, product yields, and headcount. In general, we expect our gross profit to increase over time as our revenue increases, and we expect our gross margins to increase over the long term to the extent our production and ordering volumes increase and as we spread the fixed portion of our overhead costs over a larger number of units produced and sold.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intend to use our design, engineering and manufacturing know-how and capabilities to further advance and improve the efficiency of our suppliers’ manufacturing processes, which we believe will reduce costs and increase our gross margins.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Our gross margins could fluctuate from quarter to quarter due to a number of factors, including variations in product mix, changes in product reimbursement rates or average selling prices,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China, and other countries.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Research and development ("R&amp;D") expenses consist primarily of costs associated with engineering, product development, clinical studies to develop and support our products, including clinical trial design, clinical trial site initiation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related to R&amp;D functions, supplies, consulting, prototyping, testing, materials, travel expenses, depreciation expenses for equipment and an allocation of IT and facility overhead expenses.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R&amp;D expenses as a percentage of revenue may vary over time depending on the level and timing of new product development efforts, as well as clinical development, clinical trial and other related activities. While we expect to continue to make key investments in our R&amp;D initiatives, including active clinical trials, we implemented a targeted plan during the third quarter intended to reduce operating expenses, improve cost efficiencies, and better align our operating structure for long-term profitability growth. This targeted plan is expected to reduce R&amp;D costs in the near term.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Selling,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SG&amp;A expenses as a percentage of revenue may vary over time depending on the level and timing of commercial expansion efforts. While we expect to continue to make strategic investments in SG&amp;A expenses, we implemented a targeted plan during the third quarter intended to reduce operating expenses, improve cost efficiencies, and better align our operating structure for long-term profitability growth. This targeted plan is expected to reduce SG&amp;A costs in the near term.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Investment Income</w:t>
      </w:r>
    </w:p>
    <w:p>
      <w:pPr>
        <w:pStyle w:val="TextBody"/>
        <w:bidi w:val="0"/>
        <w:spacing w:before="0" w:after="120"/>
        <w:jc w:val="both"/>
        <w:rPr>
          <w:rFonts w:ascii="Times New Roman" w:hAnsi="Times New Roman"/>
          <w:sz w:val="20"/>
        </w:rPr>
      </w:pPr>
      <w:r>
        <w:rPr>
          <w:rFonts w:ascii="Times New Roman" w:hAnsi="Times New Roman"/>
          <w:color w:val="000000"/>
          <w:sz w:val="20"/>
        </w:rPr>
        <w:t>I</w:t>
      </w:r>
      <w:r>
        <w:rPr>
          <w:rFonts w:ascii="Times New Roman" w:hAnsi="Times New Roman"/>
          <w:color w:val="231F20"/>
          <w:sz w:val="20"/>
        </w:rPr>
        <w:t>nvestment income primarily consists of interest and amortization on held-to-maturity investments in U.S. treasury securities and money market funds.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Interest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consists of interest incurred on our outstanding indebtedness and non-cash interest related to the accretion of debt discount and amortization of debt issuance costs associated with the Term Loans.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Loss on Debt Extinguishment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loss on debt extinguishment is associated with our termination and settlement of the indebtedness under our prior secured credit facility with MidCap Financial Trust and certain of its affiliates (the “Prior Lender”) that was initiated and completed during the year ended December 31, 2024.</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Other Expense, Net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Other expense, net primarily consists of income and expenses that do not originate from our primary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Comparison of the Years Ended December 31, 2025 and 2024</w:t>
      </w:r>
    </w:p>
    <w:tbl>
      <w:tblPr>
        <w:tblW w:w="8862" w:type="dxa"/>
        <w:jc w:val="left"/>
        <w:tblInd w:w="0" w:type="dxa"/>
        <w:tblLayout w:type="fixed"/>
        <w:tblCellMar>
          <w:top w:w="28" w:type="dxa"/>
          <w:left w:w="28" w:type="dxa"/>
          <w:bottom w:w="28" w:type="dxa"/>
          <w:right w:w="28" w:type="dxa"/>
        </w:tblCellMar>
      </w:tblPr>
      <w:tblGrid>
        <w:gridCol w:w="3156"/>
        <w:gridCol w:w="146"/>
        <w:gridCol w:w="211"/>
        <w:gridCol w:w="781"/>
        <w:gridCol w:w="271"/>
        <w:gridCol w:w="146"/>
        <w:gridCol w:w="211"/>
        <w:gridCol w:w="781"/>
        <w:gridCol w:w="271"/>
        <w:gridCol w:w="146"/>
        <w:gridCol w:w="211"/>
        <w:gridCol w:w="736"/>
        <w:gridCol w:w="166"/>
        <w:gridCol w:w="146"/>
        <w:gridCol w:w="146"/>
        <w:gridCol w:w="526"/>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4" w:after="283"/>
        <w:jc w:val="left"/>
        <w:rPr/>
      </w:pPr>
      <w:r>
        <w:rPr/>
        <w:t> </w:t>
      </w:r>
    </w:p>
    <w:p>
      <w:pPr>
        <w:pStyle w:val="TextBody"/>
        <w:bidi w:val="0"/>
        <w:spacing w:before="120" w:after="120"/>
        <w:jc w:val="both"/>
        <w:rPr>
          <w:rFonts w:ascii="Times New Roman" w:hAnsi="Times New Roman"/>
          <w:sz w:val="20"/>
        </w:rPr>
      </w:pPr>
      <w:r>
        <w:rPr>
          <w:rFonts w:ascii="Times New Roman" w:hAnsi="Times New Roman"/>
          <w:i/>
          <w:color w:val="231F20"/>
          <w:sz w:val="20"/>
        </w:rPr>
        <w:t>Revenue</w:t>
      </w:r>
      <w:r>
        <w:rPr>
          <w:rFonts w:ascii="Times New Roman" w:hAnsi="Times New Roman"/>
          <w:color w:val="231F20"/>
          <w:sz w:val="20"/>
        </w:rPr>
        <w:t>. Revenue in the year ended December 31, 2025 was $77.4 million, a decrease of $2.5 million, or 3.1%, compared to the prior year.</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the year ended December 31, 2025, our Interventional Glaucoma revenue was $75.7 million, a decrease of $0.2 million, or 0.2%, compared to the prior year. The decrease was primarily attributable to the LCDs that became effective in the fourth quarter of 2024 . Revenue increased in the second half of 2025, primarily attributable to an increase in ordering facilities, an increase in the number of units sold, and an increase in average selling prices compared to the prior year period.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Interventional Dry Eye revenue was $1.6 million for the year ended December 31, 2025, a decrease of $2.3 million, or 58.7% compared to the prior year. The overall decrease in revenue was primarily due to fewer SmartLids sold, due to our focus on the next phase of our commercial strategy, which involves achieving reimbursed market access for our TearCare products. During the fourth quarter of 2025, two MACs established jurisdiction-wide pricing, which led to improved sales performance in the fourth quarter.</w:t>
      </w:r>
    </w:p>
    <w:p>
      <w:pPr>
        <w:pStyle w:val="TextBody"/>
        <w:bidi w:val="0"/>
        <w:spacing w:before="0" w:after="120"/>
        <w:jc w:val="both"/>
        <w:rPr>
          <w:rFonts w:ascii="Times New Roman" w:hAnsi="Times New Roman"/>
          <w:sz w:val="20"/>
        </w:rPr>
      </w:pPr>
      <w:r>
        <w:rPr>
          <w:rFonts w:ascii="Times New Roman" w:hAnsi="Times New Roman"/>
          <w:i/>
          <w:color w:val="231F20"/>
          <w:sz w:val="20"/>
        </w:rPr>
        <w:t>Cost of Goods Sold</w:t>
      </w:r>
      <w:r>
        <w:rPr>
          <w:rFonts w:ascii="Times New Roman" w:hAnsi="Times New Roman"/>
          <w:color w:val="231F20"/>
          <w:sz w:val="20"/>
        </w:rPr>
        <w:t>. Cost of goods sold during the year ended December 31, 2025, decreased $0.9 million, or 7.6%, compared to the prior year. Our Interventional Glaucoma cost of goods sold increased $0.6 million compared to 2024. The increase was primarily driven by tariffs, higher overhead costs per unit, and product sales mix. Interventional Dry Eye cost of goods sold decreased $1.5 million compared to the prior year, primarily driven by lower volumes.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i/>
          <w:color w:val="231F20"/>
          <w:sz w:val="20"/>
        </w:rPr>
        <w:t>Gross Profit and Gross Margin</w:t>
      </w:r>
      <w:r>
        <w:rPr>
          <w:rFonts w:ascii="Times New Roman" w:hAnsi="Times New Roman"/>
          <w:color w:val="231F20"/>
          <w:sz w:val="20"/>
        </w:rPr>
        <w:t xml:space="preserve">. Our total gross profit was $66.7 million for the year ended December 31, 2025, a decrease of $1.6 million from the prior year comparable period. Our gross margin for the year ended December 31, 2025 increased to 86.2%, from 85.5% in the prior year comparable period. Gross margin in our </w:t>
      </w:r>
      <w:r>
        <w:rPr>
          <w:rFonts w:ascii="Times New Roman" w:hAnsi="Times New Roman"/>
          <w:color w:val="000000"/>
          <w:sz w:val="20"/>
        </w:rPr>
        <w:t xml:space="preserve">Interventional </w:t>
      </w:r>
      <w:r>
        <w:rPr>
          <w:rFonts w:ascii="Times New Roman" w:hAnsi="Times New Roman"/>
          <w:color w:val="231F20"/>
          <w:sz w:val="20"/>
        </w:rPr>
        <w:t xml:space="preserve">Glaucoma segment was 86.8% for the year ended December 31, 2025, a decrease from 87.6% for the prior year comparable period, primarily due to higher overhead costs per unit, tariff costs, and product sales mix. In our </w:t>
      </w:r>
      <w:r>
        <w:rPr>
          <w:rFonts w:ascii="Times New Roman" w:hAnsi="Times New Roman"/>
          <w:color w:val="000000"/>
          <w:sz w:val="20"/>
        </w:rPr>
        <w:t xml:space="preserve">Interventional </w:t>
      </w:r>
      <w:r>
        <w:rPr>
          <w:rFonts w:ascii="Times New Roman" w:hAnsi="Times New Roman"/>
          <w:color w:val="231F20"/>
          <w:sz w:val="20"/>
        </w:rPr>
        <w:t>Dry Eye segment, gross margin increased from 46.2% for the year ended December 31, 2024 to 59.3% for the year ended December 31, 2025, primarily driven by increased average selling prices.</w:t>
      </w:r>
    </w:p>
    <w:p>
      <w:pPr>
        <w:pStyle w:val="TextBody"/>
        <w:bidi w:val="0"/>
        <w:spacing w:before="0" w:after="120"/>
        <w:jc w:val="both"/>
        <w:rPr>
          <w:rFonts w:ascii="Times New Roman" w:hAnsi="Times New Roman"/>
          <w:sz w:val="20"/>
        </w:rPr>
      </w:pPr>
      <w:r>
        <w:rPr>
          <w:rFonts w:ascii="Times New Roman" w:hAnsi="Times New Roman"/>
          <w:i/>
          <w:color w:val="231F20"/>
          <w:sz w:val="20"/>
        </w:rPr>
        <w:t>Research and Development Expenses</w:t>
      </w:r>
      <w:r>
        <w:rPr>
          <w:rFonts w:ascii="Times New Roman" w:hAnsi="Times New Roman"/>
          <w:color w:val="231F20"/>
          <w:sz w:val="20"/>
        </w:rPr>
        <w:t xml:space="preserve">. </w:t>
      </w:r>
      <w:r>
        <w:rPr>
          <w:rFonts w:ascii="Times New Roman" w:hAnsi="Times New Roman"/>
          <w:color w:val="000000"/>
          <w:sz w:val="20"/>
        </w:rPr>
        <w:t xml:space="preserve">R&amp;D expenses were $14.6 million for the year ended December 31, 2025, a decrease of $3.4 million, or 18.8%, compared to the prior year. The decrease was primarily attributable to a $2.7 million decrease in personnel costs related to our August 2025 reduction in force. Clinical studies and general R&amp;D expenses also decreased by $1.6 million during the current year. R&amp;D expenses during the year ended December 31, 2025 included $1.0 million of restructuring costs related to this reduction in force. </w:t>
      </w:r>
    </w:p>
    <w:p>
      <w:pPr>
        <w:pStyle w:val="TextBody"/>
        <w:bidi w:val="0"/>
        <w:spacing w:before="0" w:after="120"/>
        <w:jc w:val="both"/>
        <w:rPr>
          <w:rFonts w:ascii="Times New Roman" w:hAnsi="Times New Roman"/>
          <w:sz w:val="20"/>
        </w:rPr>
      </w:pPr>
      <w:r>
        <w:rPr>
          <w:rFonts w:ascii="Times New Roman" w:hAnsi="Times New Roman"/>
          <w:i/>
          <w:color w:val="231F20"/>
          <w:sz w:val="20"/>
        </w:rPr>
        <w:t>Selling, General, and Administrative Expenses</w:t>
      </w:r>
      <w:r>
        <w:rPr>
          <w:rFonts w:ascii="Times New Roman" w:hAnsi="Times New Roman"/>
          <w:color w:val="231F20"/>
          <w:sz w:val="20"/>
        </w:rPr>
        <w:t>. SG&amp;A expenses were $89.2 million for the year ended December 31, 2025, a decrease of $11.7 million, or 11.6%, compared to the prior year. The decrease was primarily attributable to a $5.4 million decrease in legal expenses, as well as a $1.0 million decrease in sales training, events, and demos. In addition, our personnel expenses decreased by $4.7 million, primarily driven by our August 2025 reduction in force. SG&amp;A expenses during the year ended December 31, 2025 included $1.8 million of restructuring costs related to this reduction.</w:t>
      </w:r>
    </w:p>
    <w:p>
      <w:pPr>
        <w:pStyle w:val="TextBody"/>
        <w:bidi w:val="0"/>
        <w:spacing w:before="0" w:after="120"/>
        <w:jc w:val="both"/>
        <w:rPr>
          <w:rFonts w:ascii="Times New Roman" w:hAnsi="Times New Roman"/>
          <w:sz w:val="20"/>
        </w:rPr>
      </w:pPr>
      <w:r>
        <w:rPr>
          <w:rFonts w:ascii="Times New Roman" w:hAnsi="Times New Roman"/>
          <w:i/>
          <w:color w:val="231F20"/>
          <w:sz w:val="20"/>
        </w:rPr>
        <w:t>Investment Income</w:t>
      </w:r>
      <w:r>
        <w:rPr>
          <w:rFonts w:ascii="Times New Roman" w:hAnsi="Times New Roman"/>
          <w:color w:val="231F20"/>
          <w:sz w:val="20"/>
        </w:rPr>
        <w:t xml:space="preserve">. </w:t>
      </w:r>
      <w:r>
        <w:rPr>
          <w:rFonts w:ascii="Times New Roman" w:hAnsi="Times New Roman"/>
          <w:color w:val="000000"/>
          <w:sz w:val="20"/>
        </w:rPr>
        <w:t>Investment income was $4.0 million for the year ended December 31, 2025, a decrease of $1.9 million, or 32.9%, from $5.9 million in the prior year period. The decline was due to lower investment balances as well as lower yield on held-to-maturity investments during the current year.</w:t>
      </w:r>
    </w:p>
    <w:p>
      <w:pPr>
        <w:pStyle w:val="TextBody"/>
        <w:bidi w:val="0"/>
        <w:spacing w:before="0" w:after="120"/>
        <w:jc w:val="both"/>
        <w:rPr>
          <w:rFonts w:ascii="Times New Roman" w:hAnsi="Times New Roman"/>
          <w:sz w:val="20"/>
        </w:rPr>
      </w:pPr>
      <w:r>
        <w:rPr>
          <w:rFonts w:ascii="Times New Roman" w:hAnsi="Times New Roman"/>
          <w:i/>
          <w:color w:val="231F20"/>
          <w:sz w:val="20"/>
        </w:rPr>
        <w:t>Interest Expense</w:t>
      </w:r>
      <w:r>
        <w:rPr>
          <w:rFonts w:ascii="Times New Roman" w:hAnsi="Times New Roman"/>
          <w:color w:val="231F20"/>
          <w:sz w:val="20"/>
        </w:rPr>
        <w:t>. Interest expense was $5.1 million in the year ended December 31, 2025, an increase of $0.5 million, or 10.3%, compared to the prior year period due to a higher outstanding principal balance under the Hercules Loan Agreement.</w:t>
      </w:r>
    </w:p>
    <w:p>
      <w:pPr>
        <w:pStyle w:val="TextBody"/>
        <w:bidi w:val="0"/>
        <w:spacing w:before="0" w:after="120"/>
        <w:jc w:val="both"/>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were no extinguishments of debt in the current year. Loss on debt extinguishment was $2.0 million for the year ended December 31, 2024. </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Cash Flows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following table summarizes our cash flows for the periods indicated (in thousands):</w:t>
      </w:r>
    </w:p>
    <w:tbl>
      <w:tblPr>
        <w:tblW w:w="724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both"/>
        <w:rPr>
          <w:rFonts w:ascii="Times New Roman" w:hAnsi="Times New Roman"/>
          <w:i/>
          <w:color w:val="231F20"/>
          <w:sz w:val="20"/>
        </w:rPr>
      </w:pPr>
      <w:r>
        <w:rPr>
          <w:rFonts w:ascii="Times New Roman" w:hAnsi="Times New Roman"/>
          <w:i/>
          <w:color w:val="231F20"/>
          <w:sz w:val="20"/>
        </w:rPr>
        <w:t>Net Cash Used in Operating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operating activities for the year ended December 31, 2025 was $29.7 million, consisting primarily of a net loss of $38.4 million and a net change in our operating assets and liabilities of $6.4 million, partially offset by non-cash charges of $15.1 million. The $6.4 million change in our net operating assets and liabilities included increases of $1.4 million in inventory and 0.7 million in prepaid expenses and other current assets, as well as decreases of $3.6 million in accrued compensation and $1.4 million in accounts payable and accrued and other current liabilities. These changes were partially offset by a $0.9 million decrease in accounts receivable. The non-cash charges primarily consisted of $13.1 million related to stock-based compensation, $0.9 of accretion of debt discount and debt issuance costs, $0.5 million of depreciation and amortization, and $0.5 million of noncash operating lease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2024 was $22.4 million, consisting primarily of a net loss of $51.5 million, partially offset by non-cash charges of $20.1 million and a net change in our operating assets and liabilities of $9.0 million. The $9.0 million change in our net operating assets and liabilities included decreases of $3.5 million in accounts receivable and $1.6 million in inventory, as well as increases of $5.2 million in accrued compensation and $0.3 million accounts payable. These were partially offset by a $1.6 million decrease in other noncurrent liabilities. The non-cash charges primarily consisted of $17.1 million related to stock-based compensation, $1.0 million of noncash loss on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extinguishment, $0.8 million of accretion of debt discount and debt issuance costs, $0.7 million of depreciation and amortization, and $0.6 million of noncash operating lease expense.</w:t>
      </w:r>
    </w:p>
    <w:p>
      <w:pPr>
        <w:pStyle w:val="TextBody"/>
        <w:bidi w:val="0"/>
        <w:spacing w:before="0" w:after="120"/>
        <w:jc w:val="both"/>
        <w:rPr>
          <w:rFonts w:ascii="Times New Roman" w:hAnsi="Times New Roman"/>
          <w:i/>
          <w:color w:val="231F20"/>
          <w:sz w:val="20"/>
        </w:rPr>
      </w:pPr>
      <w:r>
        <w:rPr>
          <w:rFonts w:ascii="Times New Roman" w:hAnsi="Times New Roman"/>
          <w:i/>
          <w:color w:val="231F20"/>
          <w:sz w:val="20"/>
        </w:rPr>
        <w:t>Net Cash Used in Investing Activities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Net cash used in investing activities in the years ended December 31, 2025 and 2024 was $0.2 million and $0.4 million, respectively, consisting of purchases of property and equipment.</w:t>
      </w:r>
    </w:p>
    <w:p>
      <w:pPr>
        <w:pStyle w:val="TextBody"/>
        <w:bidi w:val="0"/>
        <w:spacing w:before="0" w:after="120"/>
        <w:jc w:val="both"/>
        <w:rPr>
          <w:rFonts w:ascii="Times New Roman" w:hAnsi="Times New Roman"/>
          <w:i/>
          <w:color w:val="231F20"/>
          <w:sz w:val="20"/>
        </w:rPr>
      </w:pPr>
      <w:r>
        <w:rPr>
          <w:rFonts w:ascii="Times New Roman" w:hAnsi="Times New Roman"/>
          <w:i/>
          <w:color w:val="231F20"/>
          <w:sz w:val="20"/>
        </w:rPr>
        <w:t>Net Cash Provided by Financing Activities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Net cash provided by financing activities for the year ended December 31, 2025 was $1.8 million, consisting primarily of proceeds from the exercise of stock options and proceeds from employee stock plan purchases. Net cash provided by financing activities for the year ended December 31, 2024 was $5.0 million, consisting primarily of proceeds from the Hercules Loan Agreement, partially offset by costs associated with refinancing the term loan agreement.</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Liquidity and Capital Resources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Sources of Liquidity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the Prior Loan Agreement with our Prior Lenders. In December 2024, we consummated the drawdown of the $5.0 million Tranche I(b) term loan advance (the "Tranche I(b) Loan") contemplated by the Hercules Loan Agreement.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As of December 31, 2025, we had cash and cash equivalents of $92.0 million, an accumulated deficit of $384.7 million, and an outstanding term loan balance of $40.0 million plus a $2.4 million fee final payment due at maturity under the Hercules Loan Agreement (excluding debt discount and amortized debt issuance costs). Based on our current planned operations, we expect our cash and cash equivalents balance, as well as other sources of liquidity, will enable us to fund our operations for at least the next 12 months and the foreseeable future.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historical cash outflows have primarily been associated with cash used for operating activities such as sales, marketing and commercialization of our products, research and development activities, regulatory and market access activities, intellectual property enforcement and portfolio expansion,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Interventional Glaucoma products and expanding and maintaining sufficient reimbursement for our Interventional Dry Eye products; the level of our investment in commercialization and research and development activities, including clinical trials; whether we enter into any strategic acquisitions or investments, and the timing and amount of the associated capital expenditures; the outcome of our litigation against Alcon, including receipt of any final, non-appealable award thereunder;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 For example, since February 2025, the U.S. has imposed tariffs that apply to all of our products and product components imported from China, which has increased, and may to continue to increase, the cost of our products and components and have a negative impact on our gross margins and liquidity.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In addition to the Initial Loan and the Tranche 1(b) Loan, the Hercules Loan Agreement provides additional tranches available to us (the “Tranche Loans,” and together with the Initial Loan and the Tranche I(b) Loan, the “Term Loans). Tranche 2 originally consisted of $10.0 million available to draw through September 15, 2025, contingent upon the achievement of certain performance milestones prior to June 30, 2025, which milestones were not met and thus this Tranche 2 was not available to the Company. Tranche 3 consisted of $15.0 million available to draw through the interest only period in increments of $5.0 million, subject to the sole approval of Hercules' investment committee.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Hercules Loan Agreement originally provided for a maturity date of July 1, 2028, with an interest only period running for the first 30 months of the agreement term. This interest-only period was extendable for an additional six months for a total of 36 months upon the achievement of certain performance milestones prior to June 30, 2025; these milestones were not met by the June 30, 2025 deadline and thus the six-month extension of the interest only period was not available to the Company.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September 2025, the Company and Hercules entered into a third amendment (the “Amendment”) to its Loan and Security Agreement. The Amendment provided for an additional six-month extension of the interest only period, to now extend to February 1, 2027. The Amendment also amended the Hercules Loan Agreement to reallocate the undrawn and unavailable $10.0 million tranche by increasing the amount available to draw through the interest only period from $15.0 million to $25.0 million in minimum increments of $5.0 million, subject in each case to the sole approval of Hercules’ investment committee.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Term Loans accrue interest at a floating annual rate equal to the greater of 10.35%, or the Wall Street Journal prime rate (the “Prime Rate”) plus 2.35%, with the interest rate equal to 10.35% at September 30, 2025.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conjunction with the funding of the Initial Loan, we issued warrants to the Lenders to purchase up to an aggregate of 135,686 shares of our common stock at an exercise price of $5.159 per share, which were recorded and classified as equity. On December 10, 2024, upon the funding of the Tranche I(b) Loan, we issued additional warrants to the Lenders to purchase 26,095 shares of our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December 31,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 </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Off-Balance Sheet Arrangements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We do not have any off-balance sheet arrangements</w:t>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Critical Accounting Estimates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Our financial statements have been prepared in accordance with U.S. generally accepted accounting principles, or GAAP.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While our significant accounting policies are more fully described in Note 2 to our financial statements included in this Annual Report on Form 10-K, we believe the following discussion addresses our most critical accounting estimates, which are those that are most important to our financial condition and results of operations and require our most difficult, subjective and complex judgments.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We maintain an equity incentive plan that permits the grant of stock-based awards, such as stock options and restricted stock units ("RSUs"), to employees, directors, and consultants. We recognize equity-based compensation expense for awards of equity instruments based on the grant date fair value of those awards. We estimate the fair value of our stock option awards based on the estimated fair values as of the grant date using the Black-Scholes-Merton ("Black-Scholes") option-pricing model, net of estimated forfeitures. The model requires us to make a number of assumptions, including expected volatility, expected term, risk-free interest rate, and expected dividend yield.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fair value of RSU awards is determined based on the number of units granted and the closing price of the Company's common stock as of the grant date. We expense the fair value of our equity-based compensation awards on a straight-line basis over the requisite service period, which is the period during which the related services are provided. </w:t>
      </w:r>
    </w:p>
    <w:p>
      <w:pPr>
        <w:pStyle w:val="TextBody"/>
        <w:bidi w:val="0"/>
        <w:spacing w:before="0" w:after="120"/>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See Note 2 to our consolidated financial statements included in this Annual Report on Form 10-K for more information about recent accounting pronouncements, the timing of their adoption, and our assessment with respect to their impact on our financial statements and related disclosures.</w:t>
      </w:r>
    </w:p>
    <w:p>
      <w:pPr>
        <w:pStyle w:val="TextBody"/>
        <w:bidi w:val="0"/>
        <w:spacing w:before="0" w:after="120"/>
        <w:jc w:val="both"/>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exposure to interest rate risk is principally confined to our cash and cash equivalents and our outstanding credit agreement. As of December 31, 2025, we had cash, cash equivalents and investments of $92.0 million, which consisted of bank deposits, money market funds, and U.S. treasury bills. 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We believe that we do not have any material exposure to changes in the fair value of these assets as a result of changes in interest rates due to the short-term nature of our cash, cash equivalents and short-term investments.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January 2024, we entered into a credit agreement with Hercules Capital. The Hercules Loan Agreement contains a floating rate equal to the greater of 10.35% or the Prime Rate plus 2.35%, with the initial interest rate under the agreement of 10.85%. As of December 31, 2025, the balance outstanding under the agreement is $40.0 million and the interest rate was 10.35%. Based upon the balance outstanding, a hypothetical 1.0% (100 basis points) change in interest rates would not have a material impact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8_financial_statements"/>
      <w:bookmarkEnd w:id="15"/>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9812" w:type="dxa"/>
        <w:jc w:val="left"/>
        <w:tblInd w:w="0" w:type="dxa"/>
        <w:tblLayout w:type="fixed"/>
        <w:tblCellMar>
          <w:top w:w="28" w:type="dxa"/>
          <w:left w:w="28" w:type="dxa"/>
          <w:bottom w:w="28" w:type="dxa"/>
          <w:right w:w="28" w:type="dxa"/>
        </w:tblCellMar>
      </w:tblPr>
      <w:tblGrid>
        <w:gridCol w:w="9451"/>
        <w:gridCol w:w="361"/>
      </w:tblGrid>
      <w:tr>
        <w:trPr/>
        <w:tc>
          <w:tcPr>
            <w:tcW w:w="9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
              <w:r>
                <w:rPr>
                  <w:rStyle w:val="InternetLink"/>
                  <w:rFonts w:ascii="Times New Roman" w:hAnsi="Times New Roman"/>
                  <w:color w:val="0000FF"/>
                  <w:sz w:val="20"/>
                  <w:u w:val="single"/>
                </w:rPr>
                <w:t xml:space="preserve">Report of Independent Registered Public Accounting Firm </w:t>
              </w:r>
            </w:hyperlink>
            <w:hyperlink w:anchor="report_of_independent_registered">
              <w:r>
                <w:rPr>
                  <w:rStyle w:val="InternetLink"/>
                  <w:rFonts w:ascii="Times New Roman" w:hAnsi="Times New Roman"/>
                  <w:color w:val="000000"/>
                  <w:sz w:val="20"/>
                </w:rPr>
                <w:t>(PCAOB ID Number 34)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and Comprehensive Loss for the Years ended December 31, 2025 and 2024</w:t>
              </w:r>
            </w:hyperlink>
            <w:hyperlink w:anchor="consolidated_statements_of_operations">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 for the Years ended December 31, 2025 and 2024</w:t>
              </w:r>
            </w:hyperlink>
            <w:hyperlink w:anchor="stockholders_equity">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report_of_independent_registered"/>
      <w:bookmarkEnd w:id="16"/>
      <w:r>
        <w:rPr>
          <w:rFonts w:ascii="Times New Roman" w:hAnsi="Times New Roman"/>
          <w:b/>
          <w:color w:val="000000"/>
          <w:sz w:val="20"/>
        </w:rPr>
        <w:t>REPORT OF INDEPENDENT REGISTERED</w:t>
      </w:r>
      <w:r>
        <w:rPr>
          <w:rFonts w:ascii="Times New Roman" w:hAnsi="Times New Roman"/>
          <w:color w:val="000000"/>
          <w:sz w:val="20"/>
        </w:rPr>
        <w:t xml:space="preserve"> </w:t>
      </w:r>
      <w:r>
        <w:rPr>
          <w:rFonts w:ascii="Times New Roman" w:hAnsi="Times New Roman"/>
          <w:b/>
          <w:color w:val="000000"/>
          <w:sz w:val="20"/>
        </w:rPr>
        <w:t>PUBLIC ACCOUNTING FIRM</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Sight Sciences,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Sight Sciences,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4, 2026</w:t>
      </w:r>
    </w:p>
    <w:p>
      <w:pPr>
        <w:pStyle w:val="TextBody"/>
        <w:bidi w:val="0"/>
        <w:jc w:val="left"/>
        <w:rPr/>
      </w:pPr>
      <w:r>
        <w:rPr/>
        <w:t> </w:t>
      </w:r>
    </w:p>
    <w:p>
      <w:pPr>
        <w:pStyle w:val="TextBody"/>
        <w:bidi w:val="0"/>
        <w:spacing w:before="9" w:after="283"/>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8"/>
        <w:gridCol w:w="146"/>
        <w:gridCol w:w="214"/>
        <w:gridCol w:w="854"/>
        <w:gridCol w:w="166"/>
        <w:gridCol w:w="146"/>
        <w:gridCol w:w="214"/>
        <w:gridCol w:w="854"/>
        <w:gridCol w:w="613"/>
      </w:tblGrid>
      <w:tr>
        <w:trPr/>
        <w:tc>
          <w:tcPr>
            <w:tcW w:w="6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$234 and $689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53,493,711 and 50,937,999 shares issued and outstanding as of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pPr>
      <w:r>
        <w:rPr/>
        <w:t> </w:t>
      </w:r>
    </w:p>
    <w:tbl>
      <w:tblPr>
        <w:tblW w:w="958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5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52,148,543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50,134,104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19" w:name="stockholders_equity"/>
      <w:bookmarkEnd w:id="19"/>
      <w:r>
        <w:rPr>
          <w:rFonts w:ascii="Times New Roman" w:hAnsi="Times New Roman"/>
          <w:b/>
          <w:color w:val="000000"/>
          <w:sz w:val="20"/>
        </w:rPr>
        <w:t>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53,493,711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20" w:name="consolidated_statements_of_cash_flows"/>
      <w:bookmarkEnd w:id="20"/>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pPr>
      <w:r>
        <w:rPr/>
        <w:t> </w:t>
      </w:r>
    </w:p>
    <w:tbl>
      <w:tblPr>
        <w:tblW w:w="9139" w:type="dxa"/>
        <w:jc w:val="left"/>
        <w:tblInd w:w="0" w:type="dxa"/>
        <w:tblLayout w:type="fixed"/>
        <w:tblCellMar>
          <w:top w:w="28" w:type="dxa"/>
          <w:left w:w="28" w:type="dxa"/>
          <w:bottom w:w="28" w:type="dxa"/>
          <w:right w:w="28" w:type="dxa"/>
        </w:tblCellMar>
      </w:tblPr>
      <w:tblGrid>
        <w:gridCol w:w="6496"/>
        <w:gridCol w:w="146"/>
        <w:gridCol w:w="196"/>
        <w:gridCol w:w="691"/>
        <w:gridCol w:w="166"/>
        <w:gridCol w:w="146"/>
        <w:gridCol w:w="196"/>
        <w:gridCol w:w="691"/>
        <w:gridCol w:w="41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for excess and obsolete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Hercules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MidCap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on net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property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warrants issued upon execution of Hercules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21" w:name="notes_to_consolidated_financial"/>
      <w:bookmarkEnd w:id="21"/>
      <w:r>
        <w:rPr>
          <w:rFonts w:ascii="Times New Roman" w:hAnsi="Times New Roman"/>
          <w:b/>
          <w:color w:val="000000"/>
          <w:sz w:val="20"/>
        </w:rPr>
        <w:t>Notes to Consolidated Financial Statements</w:t>
      </w:r>
    </w:p>
    <w:p>
      <w:pPr>
        <w:pStyle w:val="TextBody"/>
        <w:bidi w:val="0"/>
        <w:spacing w:before="0" w:after="12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Note 1. The Company and Nature of Business</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product portfolio aligns with its two reportable operating segments: Interventional Glaucoma and Interventional Dry Eye. The products for the Interventional Glaucoma segment consist of the OMNI® Surgical System family of products ("OMNI") and the SION® Surgical Instrument ("SION"). The Company’s commercial OMNI offerings, consisting of the Ergo Series of the OMNI Surgical System ("OMNI Ergo") and the OMNI EDGE Surgical System ("OMNI EDGE") are implant-free, minimally invasive glaucoma surgery technologies. OMNI Ergo and OMNI EDGE are indicated in the United States to reduce intraocular pressure in adult patients with primary open-angle glaucoma. The OMNI Ergo is CE Marked for the catheterization and transluminal viscodilation of Schlemm’s canal and cutting of the trabecular meshwork to reduce intraocular pressure in adult patients with open-angle glaucoma. SION is a bladeless, manually operated device used in ophthalmic surgical procedures to excise trabecular meshwork. The product portfolio for the Interventional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disease when used in conjunction with manual expression of the meibomian glands, enabling clearance of gland obstructions by physicians to address the leading cause of dry eye disease.</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December 31, 2025, the Company had an accumulated deficit of $384.7 million and recorded a net loss of $38.4 million for the year then ended and expects to incur additional losses in the future.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its consolidated financial statements. Any failure to generate increased revenue, achieve improved gross profit,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or reduce operating costs. Any of these actions could harm the Company’s business, requiring it to change its business strategy, scale back its operations, or limit its ability to achieve its strategic objectives.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consolidated financial statements have been prepared in accordance with accounting principles generally accepted in the United States of America ("US GAAP"). The Company’s consolidated financial statements include the accounts of the Company and its wholly owned subsidiaries, Sight Sciences UK, Ltd and Sight Sciences GmbH. All intercompany balances and transactions have been eliminated in consolidation.</w:t>
      </w:r>
    </w:p>
    <w:p>
      <w:pPr>
        <w:pStyle w:val="TextBody"/>
        <w:bidi w:val="0"/>
        <w:spacing w:before="0" w:after="120"/>
        <w:jc w:val="both"/>
        <w:rPr>
          <w:rFonts w:ascii="Times New Roman" w:hAnsi="Times New Roman"/>
          <w:sz w:val="20"/>
        </w:rPr>
      </w:pPr>
      <w:r>
        <w:rPr>
          <w:rFonts w:ascii="Times New Roman" w:hAnsi="Times New Roman"/>
          <w:b/>
          <w:i/>
          <w:color w:val="231F20"/>
          <w:sz w:val="20"/>
        </w:rPr>
        <w:t>Presentation Reclassification</w:t>
      </w:r>
      <w:r>
        <w:rPr>
          <w:rFonts w:ascii="Times New Roman" w:hAnsi="Times New Roman"/>
          <w:color w:val="231F2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prior year amounts have been reclassified for consistency with current year presentation. This reclassification was to report withholding taxes on net share settlement of restricted stock units as a deduction to the issuance of common stock upon vesting of restricted stock units in the consolidated statements of stockholders’ equity. This reclassification had no effect on the reported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preparation of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 to the allowance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it could result in a material effect on the Company’s financial condition, results of operations and liquidity.</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Fair Value of Financial Instruments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Company’s financial instruments typically consist of cash, cash equivalents, restricted cash, accounts receivable, accounts payable, accrued and other current liabilities, common stock warrants, and short-term and long-term debt. The Company's cash equivalents are comprised of U.S. treasury securities that are classified as held-to-maturity and recorded at amortized cost in the financial statements, and money market accounts. The Company records accounts receivable, accounts payable, and accrued and other current liabilities at their carrying value, which approximates fair value due to the short time to the expected receipt or payment. The carrying amount of the Company’s debt approximates its fair value as the effective interest rate approximates market rates currently available to the Company. </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Concentration of Credit and Supply Chain Risk</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Financial instruments that subject the Company to concentration of credit risk consist of cash and cash equivalents and accounts receivable. The Company’s cash and cash equivalents are deposited with a high-quality financial institution. Deposits at this institution may, at times, exceed federally insured limits. Management believes that this financial institution is financially sound and that minimal credit risk exists with respect to these deposits. The Company has not experienced any losses on its deposits of cash and cash equivalents.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relies on third-party contract manufacturers for the manufacture of all of its commercial products. The Company also depends on a limited number of single source suppliers to provide some of the components, accessories and materials used in the manufacture and assembly of its commercial products. Any failure on the part of the Company’s manufacturers or suppliers to timely provide products or components to the Company, or any other disruptions in the Company’s supply chain, would have a negative impact on the Company’s financial condition, results of operations and liquidity.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For the years ended December 31, 2025 and 2024, there were no customers that represented 10% or more of the Company's revenue or accounts receivable.</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Cash and Cash Equivalents and Restricted Cash</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considers all highly liquid investments with an original maturity of 90 days or less, when purchased, to be cash and cash equivalents. Cash and cash equivalents include U.S. treasury securities that are classified as held-to-maturity and recorded at amortized cost in the financial statements. The remainder of cash and cash equivalents consists of checking and savings deposits, as well as money market funds, recorded at cost, which approximates fair value.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also has restricted cash balances, which consist of checking and savings deposits, recorded at cost, which approximates fair value. These restricted cash balances are held as collateral in conjunction with the Company’s corporate credit card program. As of December 31, 2025, the Company had $0.3 million in restricted cash, which is recorded in prepaid and other current assets in the Company’s consolidated balance sheets.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Accounts Receivable and Provision for Credit Losses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Accounts receivable are stated at invoiced amounts, net of estimated allowance for credit losses. The Company’s provision for credit losses methodology for accounts receivables is developed using its historical collection experience, current and anticipated future macroeconomic conditions, and a review of the current aging status and financial condition of its customers. The Company uses its reasonable judgment, based on the available information, and records a provision against amounts due to reduce the receivable to the amount that is expected to be collected. These specific provisions are reevaluated and adjusted as additional information is received that impacts the amount reserved. To date, the Company has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experienced material credit-related losses. The allowance for credit losses was $0.2 million and $0.7 million as of December 31, 2025 and 2024, respectively.</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Inventory, net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Inventory represents raw materials and finished goods purchased from third-party suppliers and manufacturers. Inventory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As of December 31, 2025, the Company’s inventory balance consisted of finished goods of $6.8 million and raw materials of $1.2 million. As of December 31, 2024, the Company’s inventory consisted of finished goods of $5.6 million and raw materials of $1.0 million.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regularly reviews inventory quantities in consideration of its actual inventory loss experiences, projected future demand for its products, and remaining shelf life to record a provision for excess and obsolete inventory when appropriate. The Company’s policy is to write down inventory that has become obsolete, inventory that has a cost basis in excess of the lower of cost or expected net realizable value, and inventory in excess of expected product demand. The estimate of excess quantities requires the Company to exercise judgment and is primarily dependent on the Company’s estimates of future demand for the particular product. As of December 31, 2025 and 2024, the Company had reserves for excess and obsolete inventory of $0.3 million and $0.3 million.</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Property and equipment are recorded at cost, less accumulated depreciation. Repairs and maintenance costs are expensed as incurred. Depreciation is calculated using the straight-line method over the estimated useful lives of the assets, typically two to five years. When assets are retired or otherwise disposed of, the cost and accumulated depreciation are removed from the consolidated balance sheets and any resulting gain or loss is reflected in the consolidated statements of operations and consolidated loss in the period realized.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Construction-in-process assets consist primarily of tools and equipment used to manufacture the Company’s products that have not yet been placed in service. These assets are stated at cost and are not initially depreciated. Once the assets are placed into service, assets are reclassified to the appropriate asset class based on their nature, and are depreciated in accordance with their respective useful lives as indicated above.</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Impairment of Long-Lived Assets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assesses long-lived assets, including property and equipment, whenever events or changes in business circumstances indicate that the carrying amount of such assets may not be fully recoverable. If indicators of impairment exist, an impairment loss may be recognized when estimated undiscounted future cash flows expected to result from the use of the assets and their eventual disposition are less than their carrying amount. Impairment, if any, is measured as the amount by which the carrying amount of the long-lived assets exceeds their fair value. Fair value is determined through various valuation techniques, including discounted cash flow models, quoted market values, and third-party independent appraisals, as considered necessary. The Company did not record any impairment of long-lived assets for the years ended December 31, 2025 and 2024.</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Leases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Company’s incremental borrowing rate (“IBR”). Lease ROU assets and lease liabilities are recognized based on the present value of the future minimum lease payments over the lease term at commencement date. The Company currently does not have any finance leases. The Company has various operating leases, which include facility leases and equipment leases.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As the implicit rates for the Company's operating leases are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 does not recognize lease ROU assets or lease liabilities for short-term leases, if any, having initial terms of 12 months or less at lease commencement as an accounting policy election. In determining the lease term,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includes all renewal options that are reasonably probable to be executed. The Company recognizes rent expense on a straight-line basis over the lease term for these short-term leases.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Common Stock Warrants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common stock warrants issued by the Company pursuant to the Hercules Loan Agreement (as defined in Note 5. Debt) are classified in equity, as they meet all the criteria for equity classification. The fair value of the common stock warrants was calculated using the Black-Scholes option pricing method and are recorded at fair value upon issuance in additional paid-in capital in the consolidated balance sheets. These common stock warrants are not remeasured after the issuance date.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Company’s unissued common stock warrants under the Hercules Loan Agreement are classified as liabilities in the consolidated balance sheets. These common stock warrants are remeasured at each reporting date using the Black-Scholes option pricing method, with the gain or loss recorded in the Company’s consolidated statements of operations and comprehensive loss.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See Note 5. Debt and Note 7. Stockholders' Equity, for additional information regarding the common stock warrants.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Revenue Recognition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applies the following five steps to determine the appropriate amount of revenue to be recognized as it fulfills its obligations under each of its arrangements: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Identify the contract with a customer,</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Identify the performance obligations in the contract,</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Determine the transaction price,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Allocate the transaction price to performance obligations in the contract,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Recognize revenue as the performance obligations are satisfied.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Revenue recognized during the years ended December 31, 2025 and 2024 relates entirely to the sale of the Company’s products within the Interventional Glaucoma and Interventional Dry Eye segments. These sales are primarily to hospitals, medical centers, and eyecare professionals ("ECPs") throughout the United States. Sales are generally made through sales representatives and distributors.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Company’s revenue arrangements consist of a single performance obligation. Revenue is recognized at the point in time when control of the promised goods transfer to the Company’s customers. Revenue is measured at the amount of consideration expected to be received in exchange for the transfer of goods. The amount of revenue that is recognized is based on the transaction price, which represents the invoiced amounts and includes estimates of variable consideration, such as discounts or rebates, where applicable. The Company does not offer right of return, except in the case where items are defective as manufactured, and the Company does not typically provide customers with a right to a refund. The amount of variable consideration included in the transaction price may be constrained and is included only to the extent it is probable that a significant reversal in the amount of the cumulative revenue recognized under the contract will not occur in a future period. Payment terms, typically 30 days, are offered to customers and do not include a significant financing component. The Company extends credit to customers based upon their financial condition and credit history and generally requires no collateral. The Company does not have any contract balances related to product sales.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Shipping and handling costs incurred for the delivery of goods to customers are included in cost of goods sold. In cases where the Company bills shipping and handling costs to customers, the Company classifies those amounts in net revenue. 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 and comprehensive loss.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Cost of Goods Sold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purchases products, components, accessories, and materials from third-party suppliers and manufacturers. Cost of goods sold consists primarily of costs related to materials, manufacturing overhead costs, reserves for excess, and obsolete and non-sellable inventories. Cost of goods sold also includes depreciation expense for production equipment and certain direct costs, such as shipping and handling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i/>
          <w:color w:val="231F20"/>
          <w:sz w:val="20"/>
        </w:rPr>
      </w:pPr>
      <w:r>
        <w:rPr>
          <w:rFonts w:ascii="Times New Roman" w:hAnsi="Times New Roman"/>
          <w:b/>
          <w:i/>
          <w:color w:val="231F20"/>
          <w:sz w:val="20"/>
        </w:rPr>
        <w:t>Research and Development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expenses research and development costs as incurred. Research and development expenses consist primarily of product development, clinical studies to develop and support the Company’s products, regulatory expenses, medical affairs, and other costs associated with products and technologies that are in development. Research and development expenses include employee compensation (including stock-based compensation), supplies, consulting, prototyping, testing, materials, travel expenses, depreciation, and an allocation of facility overhead expenses.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Selling, General and Administrative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Selling, general and administrative expenses include compensation (including stock-based compensation) and employee benefits for executive management, commercial, finance, and human resources personnel; facility costs (including rent); bad debt costs; professional service fees; and other general overhead costs, including depreciation.</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Advertising Expense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expenses advertising costs as incurred. Advertising expenses for fiscal years 2025 and 2024 were $2.4 million and $1.4 million, respectively, included in selling, general and administrative expenses in the consolidated statements of operations and comprehensive loss.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Company's equity incentive plan permits the grant of stock-based awards, such as stock options and restricted stock units ("RSUs"), to employees, directors and consultants. The Company’s employee stock purchase plan (“ESPP”) allows employees to purchase stock from the Company at a discount. 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and uses the straight- line method to recognize stock-based compensation, and accounts for forfeitures as they occur.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 selected the Black-Scholes option-pricing model as the method for determining the estimated fair value for stock options and awards granted pursuant to the ESPP. The Black-Scholes option-pricing model requires the use of highly subjective and complex assumptions, which determine the fair value of share-based awards, including the stock option’s expected term, expected volatility of the underlying stock, risk-free interest rate and expected dividend yield. The Company uses the simplified method for determining the expected term of the granted stock options since there is not adequate historical data to utilize in calculating the expected term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fair value of RSU awards is determined based on the number of units granted and the closing price of the Company's common stock as of the grant date.</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Interest Expense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Company’s interest expense consists primarily of interest incurred on our outstanding indebtedness. The Company's interest expense also includes non-cash interest related to the accretion of debt discount and debt issuance costs, as well as the accrual of the final fee due at maturity.</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Investment Income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Company’s investment income consists primarily of interest and amortization on held-to-maturity investments in treasury securities. All treasury securities are purchased with maturities of less than 90 days and recorded at amortized costs in the financial statements.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Currency Remeasurement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Foreign currency transaction gains and losses are recorded in other income (expense), net in the Company’s consolidated statements of operations and comprehensive loss. Such amounts have not been material for all periods presented.</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Income Taxes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assesses the likelihood that the resulting deferred tax assets will be realized. A valuation allowance is provided when it is more likely than not that some portion or all off a deferred tax asset will not be realized. Due to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historical operating performance and the recorded cumulative net losses in prior fiscal periods, the net deferred tax assets have been fully offset by a valuation allowance.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recognizes uncertain income tax positions at the largest amount that is more likely than not to be sustained upon audit by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 as a component of provision for income taxes.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Comprehensive Loss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Comprehensive loss represents all changes in stockholders’ equity except those resulting from distributions to stockholders. There have been no items qualifying as other comprehensive income (loss) and, therefore, for all periods presented, there was no difference between comprehensive loss and the Company’s reported net loss.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Net Loss Per Share Attributable to Common Stockholders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Basic and diluted net loss per share attributable to common stockholders is presented in conformity with the two-class method required for participating securities. Basic and diluted net loss per share attributable to common stockholders is computed by dividing the net loss attributable to common stockholders by the weighted-average number of common shares outstanding for the period without consideration of potentially dilutive securities. The Company’s potentially dilutive shares, which consist of outstanding common stock options and RSUs, were excluded in the computation of diluted net loss per share for the period as the result would have been anti-dilutive due to the Company's net loss position in each period.</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Restructuring Expense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Restructuring expenses may arise from targeted plans to reduce operating expenses, improve cost efficiencies, and better align our operating structure for long-term, profitable growth, and primarily include one-time employee severance and benefits contribution costs. For one-time termination benefits, expense is recorded when employees are entitled to receive those benefits and amounts can be reasonably estimated. Restructuring expenses are recorded as an operating expense in the consolidated statements of operations and comprehensive loss.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Emerging Growth Company and Smaller Reporting Company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is an “emerging growth company” as defined in the Jumpstart Our Business Startups Act of 2012, as well as a "smaller reporting company, as defined by the Securities and Exchange Commission per Rule 12b-2 of the Exchange Act. As such the Company is eligible for exemptions from various reporting requirements applicable to other public companies that are not emerging growth companies or smaller reporting companies, including reduced reporting and extended transition periods to comply with new or revised accounting standards for public business entities. The Company has elected to avail itself of this exemption and, therefore, is not subject to the timeline for adopting new or revised accounting standards for public business entities that are not emerging growth companies, and will follow the applicable transition guidance.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Accounting Standards Adopted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Company adopted the standard on January 1, 2025, and elected to apply the standard on a prospective basis for fiscal year reporting. The adoption resulted in the expanded presentation of the Company’s effective tax rate reconciliation and the disaggregation of income taxes paid in our financial statement footnotes. The application of these disclosure requirements had no impact on our consolidated balance sheets, consolidated statements of operations and comprehensive loss, and consolidated cash flow statements. The information is presented in </w:t>
      </w:r>
      <w:r>
        <w:rPr>
          <w:rFonts w:ascii="Times New Roman" w:hAnsi="Times New Roman"/>
          <w:i/>
          <w:color w:val="000000"/>
          <w:sz w:val="20"/>
        </w:rPr>
        <w:t>Note 10: Income Taxes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Measurement of Credit Losses for Accounts Receivable and Contract Assets. This ASU allows the Company to elect a practical expedient that assumes that current conditions as of the balance sheet date do not change for the remaining life of the asset when developing reasonable and supportable forecasts as part of estimating expected credit losses. The Company adopted the standard for the year end December 31, 2025 for fiscal year reporting. The standard is to be applied on a prospective basis. The standard did not have an impact on the Company’s current credit loss measurement process, and thus no material impact on the Company’s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xml:space="preserve">. The ASU requires additional disclosure in the notes the financial statements of specified information about certain expenses such as purchases of inventory, employee compensation, depreciation, intangible asset amortization, and depreciation and other expenses which are presented in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(Topic 350): Targeted Improvements to the Accounting for Internal-Use Software</w:t>
      </w:r>
      <w:r>
        <w:rPr>
          <w:rFonts w:ascii="Times New Roman" w:hAnsi="Times New Roman"/>
          <w:color w:val="000000"/>
          <w:sz w:val="20"/>
        </w:rPr>
        <w:t>. This ASU modifies the criteria for when software costs may be capitalized by eliminating consideration of software project development stages and by enhancing guidance for the "probable-to-complete" threshold. This ASU is effective for our annual reports beginning in 2028, and interim periods within those annual reporting periods. Early adoption of this ASU is permitted. We are currently evaluating the impact that adoption of this ASU may have on our financial statements and disclosures.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is intended to improve the navigability of the guidance in ASC 270, </w:t>
      </w:r>
      <w:r>
        <w:rPr>
          <w:rFonts w:ascii="Times New Roman" w:hAnsi="Times New Roman"/>
          <w:i/>
          <w:color w:val="000000"/>
          <w:sz w:val="20"/>
        </w:rPr>
        <w:t>Interim Reporting</w:t>
      </w:r>
      <w:r>
        <w:rPr>
          <w:rFonts w:ascii="Times New Roman" w:hAnsi="Times New Roman"/>
          <w:color w:val="000000"/>
          <w:sz w:val="20"/>
        </w:rPr>
        <w:t>,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adopting this standard and does not expect it to have a material impact on its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there are no additional ASUs issued and not yet adopted that are expected to have a material impact on the Company's financial statements and related disclosures.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tables set forth by level within the fair value hierarchy our assets and liabilities that are measured on a recurring basis and reported at fair value as of December 31, 2025 and 2024.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530" w:type="dxa"/>
        <w:jc w:val="left"/>
        <w:tblInd w:w="0" w:type="dxa"/>
        <w:tblLayout w:type="fixed"/>
        <w:tblCellMar>
          <w:top w:w="28" w:type="dxa"/>
          <w:left w:w="28" w:type="dxa"/>
          <w:bottom w:w="28" w:type="dxa"/>
          <w:right w:w="28" w:type="dxa"/>
        </w:tblCellMar>
      </w:tblPr>
      <w:tblGrid>
        <w:gridCol w:w="2616"/>
        <w:gridCol w:w="146"/>
        <w:gridCol w:w="211"/>
        <w:gridCol w:w="781"/>
        <w:gridCol w:w="146"/>
        <w:gridCol w:w="146"/>
        <w:gridCol w:w="211"/>
        <w:gridCol w:w="676"/>
        <w:gridCol w:w="146"/>
        <w:gridCol w:w="146"/>
        <w:gridCol w:w="239"/>
        <w:gridCol w:w="391"/>
        <w:gridCol w:w="146"/>
        <w:gridCol w:w="146"/>
        <w:gridCol w:w="211"/>
        <w:gridCol w:w="781"/>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investments in U.S. treasury securities are classified as held-to-maturity and all have been purchased with original maturities of 90 days or less. Held-to-maturity debt securities are recorded at amortized cost in the financial statements. The following tables set forth the unrealized gains on held-to-maturity U.S. treasury securities as of December 31, 2025 and 2024. </w:t>
      </w:r>
    </w:p>
    <w:tbl>
      <w:tblPr>
        <w:tblW w:w="8924" w:type="dxa"/>
        <w:jc w:val="left"/>
        <w:tblInd w:w="0" w:type="dxa"/>
        <w:tblLayout w:type="fixed"/>
        <w:tblCellMar>
          <w:top w:w="28" w:type="dxa"/>
          <w:left w:w="28" w:type="dxa"/>
          <w:bottom w:w="28" w:type="dxa"/>
          <w:right w:w="28" w:type="dxa"/>
        </w:tblCellMar>
      </w:tblPr>
      <w:tblGrid>
        <w:gridCol w:w="2041"/>
        <w:gridCol w:w="146"/>
        <w:gridCol w:w="296"/>
        <w:gridCol w:w="949"/>
        <w:gridCol w:w="146"/>
        <w:gridCol w:w="146"/>
        <w:gridCol w:w="539"/>
        <w:gridCol w:w="811"/>
        <w:gridCol w:w="146"/>
        <w:gridCol w:w="146"/>
        <w:gridCol w:w="522"/>
        <w:gridCol w:w="858"/>
        <w:gridCol w:w="146"/>
        <w:gridCol w:w="146"/>
        <w:gridCol w:w="403"/>
        <w:gridCol w:w="1292"/>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24" w:type="dxa"/>
        <w:jc w:val="left"/>
        <w:tblInd w:w="0" w:type="dxa"/>
        <w:tblLayout w:type="fixed"/>
        <w:tblCellMar>
          <w:top w:w="28" w:type="dxa"/>
          <w:left w:w="28" w:type="dxa"/>
          <w:bottom w:w="28" w:type="dxa"/>
          <w:right w:w="28" w:type="dxa"/>
        </w:tblCellMar>
      </w:tblPr>
      <w:tblGrid>
        <w:gridCol w:w="2041"/>
        <w:gridCol w:w="146"/>
        <w:gridCol w:w="265"/>
        <w:gridCol w:w="980"/>
        <w:gridCol w:w="146"/>
        <w:gridCol w:w="146"/>
        <w:gridCol w:w="539"/>
        <w:gridCol w:w="811"/>
        <w:gridCol w:w="146"/>
        <w:gridCol w:w="146"/>
        <w:gridCol w:w="522"/>
        <w:gridCol w:w="858"/>
        <w:gridCol w:w="146"/>
        <w:gridCol w:w="146"/>
        <w:gridCol w:w="360"/>
        <w:gridCol w:w="1335"/>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December 31, 2025 and 2024, total debt of $40.3 million and $39.4 million is reported at amortized cost, respectively. This outstanding debt is classified as Level 2 as it is not actively traded. The amortized cost of the outstanding debt approximates the fair value.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measures the fair value of the unissued common stock warrants that may be issued pursuant to the Hercules Loan Agreement (as defined in Note 5, Debt) using the Black-Scholes option pricing method. See Note 5, Debt, and Note 7, Stockholders' Equity, for additional information regarding the common stock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financial statements as of December 31, 2025 and 2024, do not include any assets or liabilities that are measured at fair value on a nonrecurring basis.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64"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11"/>
        <w:gridCol w:w="63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Depreciation expense was $0.3 million and $0.5 million for the years ended December 31, 2025 and 2024 respectively.</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6074" w:type="dxa"/>
        <w:jc w:val="left"/>
        <w:tblInd w:w="0" w:type="dxa"/>
        <w:tblLayout w:type="fixed"/>
        <w:tblCellMar>
          <w:top w:w="28" w:type="dxa"/>
          <w:left w:w="28" w:type="dxa"/>
          <w:bottom w:w="28" w:type="dxa"/>
          <w:right w:w="28" w:type="dxa"/>
        </w:tblCellMar>
      </w:tblPr>
      <w:tblGrid>
        <w:gridCol w:w="3681"/>
        <w:gridCol w:w="146"/>
        <w:gridCol w:w="211"/>
        <w:gridCol w:w="571"/>
        <w:gridCol w:w="146"/>
        <w:gridCol w:w="146"/>
        <w:gridCol w:w="211"/>
        <w:gridCol w:w="571"/>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5215" w:type="dxa"/>
        <w:jc w:val="left"/>
        <w:tblInd w:w="0" w:type="dxa"/>
        <w:tblLayout w:type="fixed"/>
        <w:tblCellMar>
          <w:top w:w="28" w:type="dxa"/>
          <w:left w:w="28" w:type="dxa"/>
          <w:bottom w:w="28" w:type="dxa"/>
          <w:right w:w="28" w:type="dxa"/>
        </w:tblCellMar>
      </w:tblPr>
      <w:tblGrid>
        <w:gridCol w:w="3166"/>
        <w:gridCol w:w="146"/>
        <w:gridCol w:w="215"/>
        <w:gridCol w:w="354"/>
        <w:gridCol w:w="149"/>
        <w:gridCol w:w="149"/>
        <w:gridCol w:w="215"/>
        <w:gridCol w:w="430"/>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An initial tranche of $35.0 million (the “Initial Loan”) was funded under the Hercules Loan Agreement on January 22, 2024, which was used to discharge the Company's indebtedness under its prior secured credit facility (the "Prior Loan Agreement") with its prior lenders. On December 10, 2024, the Company consummated the drawdown of the $5.0 million Tranche I(b) Term Loan Advance (the "Tranche I(b) Loan") under the Hercules Loan Agreement. Upon consummation of the Tranche I(b) Loan, the aggregate principal amount of borrowings under the Hercules Loan Agreement was $40.0 million.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addition to the Initial Loan and the Tranche 1(b) Loan, the Hercules Loan Agreement provides additional tranches available to the Company (the “Tranche Loans,” and together with the Initial Loan and the Tranche I(b) Loan, the “Term Loans"). Tranche 2 originally consisted of $10.0 million available to draw through September 15, 2025, contingent upon the achievement of certain performance milestones prior to June 30, 2025 which were not met and thus Tranche 2 was not available to the Company. Tranche 3 consisted of $15.0 million available to draw through the interest only period in increments of $5.0 million, subject to the sole approval of Hercules' investment committee.</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Hercules Loan Agreement originally provided for a maturity date of July 1, 2028, with an interest only period running for the first 30 months of the agreement term, extendable for an additional six months for a total of 36 months upon the achievement of certain performance milestones prior to June 30, 2025. These performance milestones were not met by the June 30, 2025 deadline, and thus the six-month extension of the interest only period was not available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In September 2025, the Company and Hercules entered into a third amendment (the “Amendment”) to the Hercules Loan Agreement, pursuant to which the expiration of the interest-only period under the agreement was extended by an additional six-months, from August 1, 2026 to February 1, 2027. The Amendment also amended the Hercules Loan Agreement to reallocate an undrawn and unavailable $10.0 million tranche by increasing the amount available to draw through the interest only period from $15.0 million to $25.0 million in minimum increments of $5.0 million, subject to the sole approval of Hercules’ investment committee, maintaining the maximum $65.0 million credit facility.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Term Loans accrue interest at a floating annual rate equal to the greater of 10.35% or the Wall Street Journal prime rate plus 2.35%, with the interest rate equal to 10.35% at December 31, 2025. The final payment fee is set at 5.95% of the funded balance, which is recognized as a debt discount and is being accreted into the amortization of debt issuance costs using the effective interest rate method over the term of the loan.</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I(b) Loan,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December 31,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the Company is required to use commercially reasonable efforts to grant to the Lenders the option to invest up to $3.0 million in the Company’s next round of equity financing, if any, that is broadly marketed to multiple investors on the same terms, conditions and pricing offered to investors in such subsequent equity financing.</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Long-term and short-term debt, as of December 31, 2025 and 2024 was as follows (in thousands):</w:t>
      </w:r>
    </w:p>
    <w:tbl>
      <w:tblPr>
        <w:tblW w:w="8349" w:type="dxa"/>
        <w:jc w:val="left"/>
        <w:tblInd w:w="0" w:type="dxa"/>
        <w:tblLayout w:type="fixed"/>
        <w:tblCellMar>
          <w:top w:w="28" w:type="dxa"/>
          <w:left w:w="28" w:type="dxa"/>
          <w:bottom w:w="28" w:type="dxa"/>
          <w:right w:w="28" w:type="dxa"/>
        </w:tblCellMar>
      </w:tblPr>
      <w:tblGrid>
        <w:gridCol w:w="5926"/>
        <w:gridCol w:w="146"/>
        <w:gridCol w:w="211"/>
        <w:gridCol w:w="676"/>
        <w:gridCol w:w="146"/>
        <w:gridCol w:w="146"/>
        <w:gridCol w:w="211"/>
        <w:gridCol w:w="676"/>
        <w:gridCol w:w="2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debt issuance costs, and final fee due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repayment schedule relating to the principal amount of the Term Loans as of December 31, 2025,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leases its corporate headquarters in Menlo Park, California. The lease commenced in August 2021, and the Company has since signed two amendments to extend the term of the lease. The second amendment, executed in January 2026, extended the lease term from November of 2026 until December of 2028. The lease ROU asset and corresponding lease liability were estimated using a weighted-average incremental borrowing rate (“IBR”) of 11.40%. Total base rent for the amended 26 months under the amended lease agreement is approximately $1.1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weighted average remaining lease term for the Company's leases was 0.8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years ended December 31, 2025 and 2024 were as follows (in thousands):</w:t>
      </w:r>
    </w:p>
    <w:tbl>
      <w:tblPr>
        <w:tblW w:w="6770" w:type="dxa"/>
        <w:jc w:val="left"/>
        <w:tblInd w:w="0" w:type="dxa"/>
        <w:tblLayout w:type="fixed"/>
        <w:tblCellMar>
          <w:top w:w="28" w:type="dxa"/>
          <w:left w:w="28" w:type="dxa"/>
          <w:bottom w:w="28" w:type="dxa"/>
          <w:right w:w="28" w:type="dxa"/>
        </w:tblCellMar>
      </w:tblPr>
      <w:tblGrid>
        <w:gridCol w:w="4381"/>
        <w:gridCol w:w="146"/>
        <w:gridCol w:w="278"/>
        <w:gridCol w:w="556"/>
        <w:gridCol w:w="192"/>
        <w:gridCol w:w="192"/>
        <w:gridCol w:w="278"/>
        <w:gridCol w:w="556"/>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New operating lease assets obtained in exchange for </w:t>
              <w:b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Aggregate future minimum lease payments at December 31, 2025 under these noncancelable operating leases were as follows (in thousands):</w:t>
      </w:r>
    </w:p>
    <w:tbl>
      <w:tblPr>
        <w:tblW w:w="5908" w:type="dxa"/>
        <w:jc w:val="left"/>
        <w:tblInd w:w="0" w:type="dxa"/>
        <w:tblLayout w:type="fixed"/>
        <w:tblCellMar>
          <w:top w:w="28" w:type="dxa"/>
          <w:left w:w="28" w:type="dxa"/>
          <w:bottom w:w="28" w:type="dxa"/>
          <w:right w:w="28" w:type="dxa"/>
        </w:tblCellMar>
      </w:tblPr>
      <w:tblGrid>
        <w:gridCol w:w="4036"/>
        <w:gridCol w:w="146"/>
        <w:gridCol w:w="460"/>
        <w:gridCol w:w="1055"/>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and Trademark Office (“USPTO”) seeking inter partes review of U.S. Patent Nos. 8,287,482, 9,370,443, 9,486,361, and 10,314,742 (IPR2022-01529, IPR2022-01530, IPR2022-01533, IPR2022-01540), each of which the USPTO denied for raising prior art references and invalidity arguments that were cumulative of those previously considered by the USPTO.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judgement. The judgment has not yet been entered and, once entered, it will be subject to appeal.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June 2025, Alcon filed petitions with the USPTO for ex parte reexaminations challenging the validity of each of the three patents asserted by the Company at trial, based on prior art patents and publications. The USPTO has granted Alcon’s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requests to initiate the reexaminations. It is possible that the April 2024 jury verdict in the Company’s favor, including its ability to collect past damages and ongoing royalties, may be materially and adversely impacted if the reexamination proceedings result in final, non-appealable judgments of invalidity of the asserted claims of the patents-in-suit before a final, non-appealable judgment is entered by the Court in the patent infringement litigation or if the asserted claims are amended during the reexamination proceedings. For example, entry of such judgments of invalidity by the USPTO could include vacating the jury verdict and a finding that the patents-in-suit are invalid. The Company is presently unable to predict the outcome of this lawsuit or the ex parte reexamination proceedings or to reasonably estimate the potential financial impact of the lawsuit or ex parte reexamination proceedings.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of loss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Except as described above, as of December 31, 2025 the Company was not a party to any legal proceedings, regulatory matters, or other disputes or claims which, if determined adversely, it believes would, individually or taken together, have a material adverse effect on the Company’s business, financial condition, operating results, liquidity, or future prospects.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December 31, 2025 and 2024.</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Strategic Reduction in Force Initiative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August of 2025, the Company implemented a targeted plan, intended to reduce operating expenses, improve cost efficiencies, and better align its operating structure for long-term profitability growth. In connection with the targeted plan, the Company restructured its global workforce in order to reduce operating expenses. Approximately 45% of the employees impacted were in general and administrative functions. The remaining employees were split between research and development and clinical functions, as well as employees in sales and sales management functions.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conjunction with the execution of the targeted plan, the Company incurred approximately $2.8 million of expense in the third quarter of 2025. The Company does not anticipate incurring any additional costs in execution of the targeted plan. Of this amount, $1.8 million is recorded in selling, general and administrative expenses, with $1.0 million recorded in research and development expenses. The expense consists mostly of one-time severance and benefits contribution costs. In addition, the Company recorded a non-cash reversal in stock-based compensation cost of $0.6 million in the third quarter of 2025. As of December 31, 2025, $0.7 million is recorded in accrued expenses for estimated costs incurred with the execution of the plan. The remaining costs will be paid to impacted employees through August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7. Stockholders' Equity</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December 31, 2025, no dividends have been declared. Each share of common stock is entitled to one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December 31, 2025 and 2024, the Company had reserved common stock for future issuances as follows:</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issuance upon exercise of outstanding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17,030,933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16,368,584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22, 2024, in conjunction with the funding of the Initial Loan under the Hercules Loan Agreement, the Company issued common stock warrants to the Lenders to purchase up to an aggregate of 135,686 shares of its common stock at an exercise price of $5.159 per share. On December 10, 2024, upon the funding of the Tranche I(b) Loan, the Company issued additional warrants to the Lenders to purchase 26,095 shares of its common stock at an exercise price of $3.83 per share. Each warrant is exercisable for up to seven years from the date of issuance. During the year ended December 31, 2024, the fair value of the issued warrants recorded was $0.7 million.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other noncurrent liabilities in the consolidated financial statements. As of both December 31, 2025 and 2024, the fair value of the unissued warrants recorded was less than $0.1 million.</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Note 8. </w:t>
      </w:r>
      <w:r>
        <w:rPr>
          <w:rFonts w:ascii="Times New Roman" w:hAnsi="Times New Roman"/>
          <w:b/>
          <w:color w:val="231F20"/>
          <w:sz w:val="20"/>
        </w:rPr>
        <w:t>Equity Incentive Plans</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2011 Stock Option Plan and 2021 Equity Incentive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units ("RSUs").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may be up to five years. The ISOs and NSOs are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RSUs are share awards that entitle the holder to receive shares of common stock upon vesting and settlement of the awards. RSUs granted to employees generally vest over a four-year period with straight-line vesting in equal amounts, either in annual or quarterly installments. RSUs granted to newly hired non-executive employees generally vest over a four-year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period, with 25% of the shares vesting on the first anniversary of the grant date and the remaining shares vesting in 12 equal quarterly installments thereafter. RSUs granted to newly hired executive employees generally vest over a four-year period, with shares vesting in four (4) equal annual installments. RSUs granted to executive and non-executive employees as merit awards generally vest in 16 equal quarterly installments following the grant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Company's board of directors (the "Board"), subject to certain limitations. Pursuant to the evergreen provision, the initial share reserve was increased by 2,546,899 and 2,456,568 shares on January 1, 2025 and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December 31, 2025 and 2024, there were 7,876,575 shares and 5,931,302 shares, respectively, of common stock available for issuance under the 2021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2011 Plan was superseded by the 2021 Plan at the time of the initial public offering of the Company's common stock, which closed on July 15, 2021, and no further grants have been made under the 2011 Plan from the date the 2021 Plan became effective.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Stock Option Awards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stock option activity under the 2011 and 2021 Plans:</w:t>
      </w:r>
    </w:p>
    <w:tbl>
      <w:tblPr>
        <w:tblW w:w="10205"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548"/>
        <w:gridCol w:w="1489"/>
        <w:gridCol w:w="146"/>
        <w:gridCol w:w="146"/>
        <w:gridCol w:w="423"/>
        <w:gridCol w:w="1048"/>
        <w:gridCol w:w="146"/>
        <w:gridCol w:w="146"/>
        <w:gridCol w:w="400"/>
        <w:gridCol w:w="1084"/>
        <w:gridCol w:w="393"/>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Intrinsic 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did not grant any stock option awards during the year ended December 31, 2025. The weighted-average grant-date fair values of stock options granted during the year ended December 31, 2024 was $2.71 per share. The aggregate intrinsic value of stock options exercised, calculated as the difference between the exercise prices of the underlying stock options and the estimated fair value of the common stock on the date of exercise, was $2.9 million during the year ended December 31,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years ended December 31, 2025 and 2024, the Company recorded stock-based compensation expense of $4.1 million and $7.8 million, respectively, related to stock options. As of December 31, 2025, the unrecognized stock-based compensation of unvested stock options was $0.8 million, which is expected to be recognized over a weighted-average period of 0.9 years.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grant date fair value of stock options granted was calculated via the Black-Scholes option-pricing model using the following weighted average assumptions:</w:t>
      </w:r>
    </w:p>
    <w:tbl>
      <w:tblPr>
        <w:tblW w:w="4302" w:type="dxa"/>
        <w:jc w:val="left"/>
        <w:tblInd w:w="0" w:type="dxa"/>
        <w:tblLayout w:type="fixed"/>
        <w:tblCellMar>
          <w:top w:w="28" w:type="dxa"/>
          <w:left w:w="28" w:type="dxa"/>
          <w:bottom w:w="28" w:type="dxa"/>
          <w:right w:w="28" w:type="dxa"/>
        </w:tblCellMar>
      </w:tblPr>
      <w:tblGrid>
        <w:gridCol w:w="2086"/>
        <w:gridCol w:w="146"/>
        <w:gridCol w:w="692"/>
        <w:gridCol w:w="217"/>
        <w:gridCol w:w="116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120"/>
        <w:jc w:val="both"/>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RSUs are share awards that entitle the holder to receive shares of common stock upon vesting and settlement. RSUs cannot be transferred, and the awards are subject to forfeiture if the holder’s employment terminates prior to the release of the vesting restrictions. RSUs granted generally vest over a four-year period with straight-line vesting in equal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(either in annual or quarterly installments), provided the employee remains continuously employed with the Company. The fair value of an RSU is equal to the closing price of the Company’s common stock on the grant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 summarizes RSU activity under the 2021 Plan: </w:t>
      </w:r>
    </w:p>
    <w:tbl>
      <w:tblPr>
        <w:tblW w:w="8797" w:type="dxa"/>
        <w:jc w:val="left"/>
        <w:tblInd w:w="0" w:type="dxa"/>
        <w:tblLayout w:type="fixed"/>
        <w:tblCellMar>
          <w:top w:w="28" w:type="dxa"/>
          <w:left w:w="28" w:type="dxa"/>
          <w:bottom w:w="28" w:type="dxa"/>
          <w:right w:w="28" w:type="dxa"/>
        </w:tblCellMar>
      </w:tblPr>
      <w:tblGrid>
        <w:gridCol w:w="2866"/>
        <w:gridCol w:w="146"/>
        <w:gridCol w:w="146"/>
        <w:gridCol w:w="991"/>
        <w:gridCol w:w="166"/>
        <w:gridCol w:w="146"/>
        <w:gridCol w:w="1453"/>
        <w:gridCol w:w="2492"/>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years ended December 31, 2025 and 2024, the Company recorded stock-based compensation of $8.6 million and $8.7 million, respectively, related to RSUs. As of December 31, 2025, the unrecognized stock-based compensation associated with unvested RSUs was $13.7 million, which is expected to be recognized over a weighted-average period of 2.4 years.</w:t>
      </w:r>
    </w:p>
    <w:p>
      <w:pPr>
        <w:pStyle w:val="TextBody"/>
        <w:bidi w:val="0"/>
        <w:spacing w:before="0" w:after="120"/>
        <w:jc w:val="both"/>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nine months, with the first offering period typically beginning in the second quarter, and the second offering period typically beginning in the fourth quarter. The purchase of shares for participants in the ESPP occurs at the conclusion of each offering period.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509,379 and 491,313 shares on January 1, 2025 and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and 2024, there were 1,880,211 shares and 1,631,076 shares of common stock available for issuance under the ESPP.</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the year ended December 31, 2025, participants in the ESPP purchased 260,244 shares for a total of $0.8 million. As of December 31, 2025, the Company has collected payroll withholdings of $0.1 million in the current offering period for the purchase of shares under the ESPP. For the years ended December 31, 2025 and 2024, the Company recorded stock-based compensation expense associated with the ESPP of $0.4 million and $0.6 million, respectively.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fair value of shares to be issued under the ESPP was estimated using the Black-Scholes valuation model with the following assumptions for the years ended December 31, 2025 and 2024, respectively:</w:t>
      </w:r>
    </w:p>
    <w:tbl>
      <w:tblPr>
        <w:tblW w:w="5706" w:type="dxa"/>
        <w:jc w:val="left"/>
        <w:tblInd w:w="0" w:type="dxa"/>
        <w:tblLayout w:type="fixed"/>
        <w:tblCellMar>
          <w:top w:w="28" w:type="dxa"/>
          <w:left w:w="28" w:type="dxa"/>
          <w:bottom w:w="28" w:type="dxa"/>
          <w:right w:w="28" w:type="dxa"/>
        </w:tblCellMar>
      </w:tblPr>
      <w:tblGrid>
        <w:gridCol w:w="2086"/>
        <w:gridCol w:w="146"/>
        <w:gridCol w:w="1516"/>
        <w:gridCol w:w="146"/>
        <w:gridCol w:w="162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72.80% - 197.51%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3.83% - 4.27%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4.47% - 5.40%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6254"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Note 9. </w:t>
      </w:r>
      <w:r>
        <w:rPr>
          <w:rFonts w:ascii="Times New Roman" w:hAnsi="Times New Roman"/>
          <w:b/>
          <w:color w:val="231F20"/>
          <w:sz w:val="20"/>
        </w:rPr>
        <w:t>Net Loss per Share Attributable to Common Stockholders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years ended December 31, 2025 and 2024, basic net loss per share is the same as diluted net loss per share as the inclusion of potentially dilutive shares would have been antidilutive if included in the calculation.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tbl>
      <w:tblPr>
        <w:tblW w:w="7339" w:type="dxa"/>
        <w:jc w:val="left"/>
        <w:tblInd w:w="0" w:type="dxa"/>
        <w:tblLayout w:type="fixed"/>
        <w:tblCellMar>
          <w:top w:w="28" w:type="dxa"/>
          <w:left w:w="28" w:type="dxa"/>
          <w:bottom w:w="28" w:type="dxa"/>
          <w:right w:w="28" w:type="dxa"/>
        </w:tblCellMar>
      </w:tblPr>
      <w:tblGrid>
        <w:gridCol w:w="3996"/>
        <w:gridCol w:w="146"/>
        <w:gridCol w:w="211"/>
        <w:gridCol w:w="1036"/>
        <w:gridCol w:w="166"/>
        <w:gridCol w:w="146"/>
        <w:gridCol w:w="211"/>
        <w:gridCol w:w="1036"/>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52,148,543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50,134,104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 presented because including them would have been antidilutive:</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8,967,989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Note 10. </w:t>
      </w:r>
      <w:r>
        <w:rPr>
          <w:rFonts w:ascii="Times New Roman" w:hAnsi="Times New Roman"/>
          <w:b/>
          <w:color w:val="231F20"/>
          <w:sz w:val="20"/>
        </w:rPr>
        <w:t>Income Taxes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The components of the Company’s income tax provision for the years ended December 31, 2025 and 2024, consist of the following (in thousands):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Current</w:t>
      </w:r>
    </w:p>
    <w:tbl>
      <w:tblPr>
        <w:tblW w:w="4099" w:type="dxa"/>
        <w:jc w:val="left"/>
        <w:tblInd w:w="0" w:type="dxa"/>
        <w:tblLayout w:type="fixed"/>
        <w:tblCellMar>
          <w:top w:w="28" w:type="dxa"/>
          <w:left w:w="28" w:type="dxa"/>
          <w:bottom w:w="28" w:type="dxa"/>
          <w:right w:w="28" w:type="dxa"/>
        </w:tblCellMar>
      </w:tblPr>
      <w:tblGrid>
        <w:gridCol w:w="2281"/>
        <w:gridCol w:w="146"/>
        <w:gridCol w:w="211"/>
        <w:gridCol w:w="346"/>
        <w:gridCol w:w="146"/>
        <w:gridCol w:w="146"/>
        <w:gridCol w:w="211"/>
        <w:gridCol w:w="42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231F20"/>
          <w:sz w:val="20"/>
        </w:rPr>
        <w:t>The Company's components of income/(loss) before the provision for income taxes includes domestic loss of $38.9</w:t>
      </w:r>
      <w:r>
        <w:rPr>
          <w:rFonts w:ascii="Times New Roman" w:hAnsi="Times New Roman"/>
          <w:color w:val="000000"/>
          <w:sz w:val="20"/>
        </w:rPr>
        <w:t xml:space="preserve"> </w:t>
      </w:r>
      <w:r>
        <w:rPr>
          <w:rFonts w:ascii="Times New Roman" w:hAnsi="Times New Roman"/>
          <w:color w:val="231F20"/>
          <w:sz w:val="20"/>
        </w:rPr>
        <w:t xml:space="preserve">million and $51.3 million for the years ended December 31, 2025 and 2024, respectively. Foreign income for the years ended December 31, 2025 and 2024 was $0.5 million and $0.1 million, respectively.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Company adopted ASU No. 2023-09, Improvements to Income Tax Disclosure in fiscal year 2025 under the prospective method. Under this new standard, we disclose specific categories in the rate reconciliation and provide additional information for reconciling items of global pretax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The reconciliation of taxes at the federal statutory rate to our tax provision for income taxes are as follows for the year ended December 31, 2025 in accordance with the guidance in ASU No. 2023-09: </w:t>
      </w:r>
    </w:p>
    <w:tbl>
      <w:tblPr>
        <w:tblW w:w="7781" w:type="dxa"/>
        <w:jc w:val="left"/>
        <w:tblInd w:w="0" w:type="dxa"/>
        <w:tblLayout w:type="fixed"/>
        <w:tblCellMar>
          <w:top w:w="28" w:type="dxa"/>
          <w:left w:w="28" w:type="dxa"/>
          <w:bottom w:w="28" w:type="dxa"/>
          <w:right w:w="28" w:type="dxa"/>
        </w:tblCellMar>
      </w:tblPr>
      <w:tblGrid>
        <w:gridCol w:w="5026"/>
        <w:gridCol w:w="146"/>
        <w:gridCol w:w="251"/>
        <w:gridCol w:w="751"/>
        <w:gridCol w:w="197"/>
        <w:gridCol w:w="173"/>
        <w:gridCol w:w="184"/>
        <w:gridCol w:w="477"/>
        <w:gridCol w:w="57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Meals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The reconciliation of taxes at the federal statutory rate to our tax provision for income taxes for the year ended December 31, 2024 in accordance with the guidance prior to the adoption of ASU 2023-09 is as follows: </w:t>
      </w:r>
    </w:p>
    <w:tbl>
      <w:tblPr>
        <w:tblW w:w="5338" w:type="dxa"/>
        <w:jc w:val="left"/>
        <w:tblInd w:w="0" w:type="dxa"/>
        <w:tblLayout w:type="fixed"/>
        <w:tblCellMar>
          <w:top w:w="28" w:type="dxa"/>
          <w:left w:w="28" w:type="dxa"/>
          <w:bottom w:w="28" w:type="dxa"/>
          <w:right w:w="28" w:type="dxa"/>
        </w:tblCellMar>
      </w:tblPr>
      <w:tblGrid>
        <w:gridCol w:w="2821"/>
        <w:gridCol w:w="146"/>
        <w:gridCol w:w="558"/>
        <w:gridCol w:w="1437"/>
        <w:gridCol w:w="3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statutory federal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Deferred tax assets and liabilities reflect the net tax effect of temporary differences between carrying value of assets and liabilities for financial reporting purposes and the tax basis of these assets and liabilities as measured by income tax law. The income tax effect of temporary differences that give rise to deferred tax assets and (liabilities) consist of the following (in thousands):</w:t>
      </w:r>
    </w:p>
    <w:tbl>
      <w:tblPr>
        <w:tblW w:w="6569" w:type="dxa"/>
        <w:jc w:val="left"/>
        <w:tblInd w:w="0" w:type="dxa"/>
        <w:tblLayout w:type="fixed"/>
        <w:tblCellMar>
          <w:top w:w="28" w:type="dxa"/>
          <w:left w:w="28" w:type="dxa"/>
          <w:bottom w:w="28" w:type="dxa"/>
          <w:right w:w="28" w:type="dxa"/>
        </w:tblCellMar>
      </w:tblPr>
      <w:tblGrid>
        <w:gridCol w:w="4006"/>
        <w:gridCol w:w="146"/>
        <w:gridCol w:w="211"/>
        <w:gridCol w:w="736"/>
        <w:gridCol w:w="166"/>
        <w:gridCol w:w="146"/>
        <w:gridCol w:w="211"/>
        <w:gridCol w:w="7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interest expense carryover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Internal Revenue Code (IRC) Section 382 limits the use of federal net operating losses and income tax credit carryforwards in certain situations where changes occur in stock ownership of a company. If the Company should have an ownership change of more than 50% of the value of the Company’s capital stock, utilization of the carryforwards could be restricted.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 valuation allowance is recorded when it is more likely than not that some portion of the deferred tax assets will not be realized. As of each reporting date, the Company's management considers all evidence, both positive and negative, that could impact management's view with regard to future realization of deferred tax assets. As of December 31, 2025, a full valuation allowance for deferred tax assets was recorded as management believes it is not more likely than not that all of the deferred tax assets will be realized. At December 31, 2025 and 2024, the Company has a net operating loss carryforward for federal income tax purposes of approximately $323.3 million and $269.2 million, respectively. At December 31, 2025 and 2024, the Company has a net operating loss carryforward for state income tax purposes of approximately $266.9 million and $245.0 million, respectively. Of the Company's federal net operating loss carryovers, $14.8 million was generated before January 1, 2018 and is subject to a 20-year carryforward period. The remaining $308.5 million can be carried forward indefinitely but is subject to an 80% taxable income limitation. The pre-2018 federal and certain state net operating losses will begin to expire in 2031 and 2032, respectively, if not utilized.</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As of December 31, 2025 and 2024, the Company has federal research and development income tax credit carryforwards of approximately $2.8 million and $2.8 million, respectively. As of December 31, 2025 and 2024, the Company has state research and development income tax credit carryforwards of approximately $2.4 million and $2.3 million, respectively. The Federal income tax credits begin to expire in 2033. The California research and development credits can be carried forward indefinitely. The total amount of uncertain tax positions ("UTP") on research and development tax credits is $1.2 million and $1.3 million as of December 31, 2025 and 2024, respectively.</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As of December 31, 2025 and 2024, the Company has business interest expense carryforwards of $0.8 million and $0.0 million, respectively. Business interest expense can be carried forward indefinitely.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following table summarizes the activity related to the unrecognized tax benefits (in thousands):</w:t>
      </w:r>
    </w:p>
    <w:tbl>
      <w:tblPr>
        <w:tblW w:w="7119" w:type="dxa"/>
        <w:jc w:val="left"/>
        <w:tblInd w:w="0" w:type="dxa"/>
        <w:tblLayout w:type="fixed"/>
        <w:tblCellMar>
          <w:top w:w="28" w:type="dxa"/>
          <w:left w:w="28" w:type="dxa"/>
          <w:bottom w:w="28" w:type="dxa"/>
          <w:right w:w="28" w:type="dxa"/>
        </w:tblCellMar>
      </w:tblPr>
      <w:tblGrid>
        <w:gridCol w:w="4906"/>
        <w:gridCol w:w="146"/>
        <w:gridCol w:w="211"/>
        <w:gridCol w:w="571"/>
        <w:gridCol w:w="166"/>
        <w:gridCol w:w="146"/>
        <w:gridCol w:w="211"/>
        <w:gridCol w:w="57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231F20"/>
          <w:sz w:val="20"/>
        </w:rPr>
      </w:pPr>
      <w:r>
        <w:rPr>
          <w:rFonts w:ascii="Times New Roman" w:hAnsi="Times New Roman"/>
          <w:color w:val="231F20"/>
          <w:sz w:val="20"/>
        </w:rPr>
        <w:t>The Company currently has no federal or state tax examinations in progress nor has it had any federal or state tax examinations since its inception. Due to the history of net operating losses, the Company’s federal and state tax returns remain open to examination by the tax authorities.</w:t>
      </w:r>
    </w:p>
    <w:p>
      <w:pPr>
        <w:pStyle w:val="TextBody"/>
        <w:bidi w:val="0"/>
        <w:spacing w:before="120" w:after="240"/>
        <w:jc w:val="left"/>
        <w:rPr>
          <w:rFonts w:ascii="Times New Roman" w:hAnsi="Times New Roman"/>
          <w:sz w:val="20"/>
        </w:rPr>
      </w:pPr>
      <w:r>
        <w:rPr>
          <w:rFonts w:ascii="Times New Roman" w:hAnsi="Times New Roman"/>
          <w:b/>
          <w:color w:val="000000"/>
          <w:sz w:val="20"/>
        </w:rPr>
        <w:t xml:space="preserve">Note 11. </w:t>
      </w:r>
      <w:r>
        <w:rPr>
          <w:rFonts w:ascii="Times New Roman" w:hAnsi="Times New Roman"/>
          <w:b/>
          <w:color w:val="231F20"/>
          <w:sz w:val="20"/>
        </w:rPr>
        <w:t>Segment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the Company’s Chief Executive Officer: (i) assesses operating performance on a regular basis, (ii) makes resource allocation decisions, and (iii) designates responsibilities of his direct reports. The Company’s operating segments, which were renamed in 2025, and which also qualify as reportable segments include: (i) Interventional Glaucoma (formerly “Surgical Glaucoma”) and (ii) Interventional Dry Eye (formerly “Dry Eye”). The change in names of the operating segments has no impact on how the CODM manages the business. These segments are generally determined based on the decision-making structure and the grouping of similar products and services.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assessing performance. The Company evaluated the monthly executive reporting package and did not identify any significant or other expenses for disclosure that are not already presented.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(dollars in thousands):</w:t>
      </w:r>
    </w:p>
    <w:tbl>
      <w:tblPr>
        <w:tblW w:w="5829" w:type="dxa"/>
        <w:jc w:val="left"/>
        <w:tblInd w:w="0" w:type="dxa"/>
        <w:tblLayout w:type="fixed"/>
        <w:tblCellMar>
          <w:top w:w="28" w:type="dxa"/>
          <w:left w:w="28" w:type="dxa"/>
          <w:bottom w:w="28" w:type="dxa"/>
          <w:right w:w="28" w:type="dxa"/>
        </w:tblCellMar>
      </w:tblPr>
      <w:tblGrid>
        <w:gridCol w:w="2676"/>
        <w:gridCol w:w="146"/>
        <w:gridCol w:w="211"/>
        <w:gridCol w:w="841"/>
        <w:gridCol w:w="166"/>
        <w:gridCol w:w="146"/>
        <w:gridCol w:w="211"/>
        <w:gridCol w:w="841"/>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120"/>
        <w:jc w:val="left"/>
        <w:rPr>
          <w:rFonts w:ascii="Times New Roman" w:hAnsi="Times New Roman"/>
          <w:b/>
          <w:color w:val="231F20"/>
          <w:sz w:val="20"/>
        </w:rPr>
      </w:pPr>
      <w:r>
        <w:rPr>
          <w:rFonts w:ascii="Times New Roman" w:hAnsi="Times New Roman"/>
          <w:b/>
          <w:color w:val="231F20"/>
          <w:sz w:val="20"/>
        </w:rPr>
        <w:t>Note 12. Subsequent Events</w:t>
      </w:r>
    </w:p>
    <w:p>
      <w:pPr>
        <w:pStyle w:val="TextBody"/>
        <w:bidi w:val="0"/>
        <w:spacing w:before="0" w:after="120"/>
        <w:jc w:val="left"/>
        <w:rPr>
          <w:rFonts w:ascii="Times New Roman" w:hAnsi="Times New Roman"/>
          <w:b/>
          <w:i/>
          <w:color w:val="231F20"/>
          <w:sz w:val="20"/>
        </w:rPr>
      </w:pPr>
      <w:r>
        <w:rPr>
          <w:rFonts w:ascii="Times New Roman" w:hAnsi="Times New Roman"/>
          <w:b/>
          <w:i/>
          <w:color w:val="231F20"/>
          <w:sz w:val="20"/>
        </w:rPr>
        <w:t>U.S. Tariff Update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February 20, 2026, the United States Supreme Court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additional tariffs or other retaliatory actions may be imposed, modified, or suspended, and the impacts of such actions on the Company's business. The Company continues to monitor and evaluate these developments and assess their potential impact on the Company’s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bookmarkStart w:id="22" w:name="item_9_changes_in_and_disagreements"/>
      <w:bookmarkEnd w:id="22"/>
      <w:r>
        <w:rPr>
          <w:rFonts w:ascii="Times New Roman" w:hAnsi="Times New Roman"/>
          <w:b/>
          <w:color w:val="000000"/>
          <w:sz w:val="20"/>
        </w:rPr>
        <w:t>Item 9. Changes in and Disagreements with Accountants on Accounting and Financial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both"/>
        <w:rPr>
          <w:rFonts w:ascii="Times New Roman" w:hAnsi="Times New Roman"/>
          <w:b/>
          <w:color w:val="000000"/>
          <w:sz w:val="20"/>
        </w:rPr>
      </w:pPr>
      <w:bookmarkStart w:id="23" w:name="item_9a_controls_and_procedures"/>
      <w:bookmarkEnd w:id="23"/>
      <w:r>
        <w:rPr>
          <w:rFonts w:ascii="Times New Roman" w:hAnsi="Times New Roman"/>
          <w:b/>
          <w:color w:val="000000"/>
          <w:sz w:val="20"/>
        </w:rPr>
        <w:t>Item 9A. Controls and Procedures.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and accounting officer, as appropriate to allow timely decisions regarding required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this evaluation, our principal executive officer and principal financial and accounting officer concluded that as of December 31, 2025, our disclosure controls and procedures were effective at the reasonable assurance level.</w:t>
      </w:r>
    </w:p>
    <w:p>
      <w:pPr>
        <w:pStyle w:val="TextBody"/>
        <w:bidi w:val="0"/>
        <w:spacing w:before="0" w:after="120"/>
        <w:jc w:val="both"/>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as defined in Rules 13a-15(f) and 15d-15(f) under the Exchange Act, means a process designed to provide reasonable assurance regarding the reliability of financial reporting and the preparation of financial statements for external purposes in accordance with GAAP. Our management, with the participation and supervision of our principal executive officer and our principal financial and accounting officer, assessed the effectiveness of our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making this assessment, our management used the criteria set forth in Internal Control – Integrated Framework (2013) as issued by the Committee of Sponsoring Organizations of the Treadway Commission (commonly referred to as COSO). Based on this assessment as of the end of the period covered by this Annual Report on Form 10-K, our management concluded that our internal control over financial reporting was effective based on those criteria.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Annual Report on Form 10-K does not include an attestation report of our registered public accounting firm due to an exemption established by SEC rules for emerging growth companies.</w:t>
      </w:r>
    </w:p>
    <w:p>
      <w:pPr>
        <w:pStyle w:val="TextBody"/>
        <w:bidi w:val="0"/>
        <w:spacing w:before="0" w:after="120"/>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 13a-15(d) of the Exchange Act during the fiscal year ended December 31, 2025, that have materially affected, or are reasonably likely to materially affect, our internal control over financial reporting.</w:t>
      </w:r>
    </w:p>
    <w:p>
      <w:pPr>
        <w:pStyle w:val="TextBody"/>
        <w:bidi w:val="0"/>
        <w:spacing w:before="0" w:after="120"/>
        <w:jc w:val="both"/>
        <w:rPr>
          <w:rFonts w:ascii="Times New Roman" w:hAnsi="Times New Roman"/>
          <w:sz w:val="20"/>
        </w:rPr>
      </w:pPr>
      <w:r>
        <w:rPr>
          <w:rFonts w:ascii="Times New Roman" w:hAnsi="Times New Roman"/>
          <w:b/>
          <w:color w:val="000000"/>
          <w:sz w:val="20"/>
        </w:rPr>
        <w:t>Limitation on Effectiveness of Controls 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designing and evaluating our controls and procedures, management recognizes that any controls and procedures, no matter how well designed and operated, can provide only reasonable and not absolute assurance of achieving the desired control objectives. In assessing whether our disclosure controls and procedures were effective at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120"/>
        <w:jc w:val="both"/>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certifications of our principal executive officer and principal financial and accounting officer required by Rule 13a-14(a) of the Exchange Act are filed as Exhibit 31.1 and Exhibit 31.2, and furnished as Exhibit 32.1 and Exhibit 32.2, respectively, to this Annual Report on Form 10-K. The disclosure in this Item 9A should be read in conjunction with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certifications for a more complete understanding of our disclosure controls and procedures and internal control over financial reporting.</w:t>
      </w:r>
    </w:p>
    <w:p>
      <w:pPr>
        <w:pStyle w:val="TextBody"/>
        <w:bidi w:val="0"/>
        <w:spacing w:before="0" w:after="120"/>
        <w:jc w:val="both"/>
        <w:rPr>
          <w:rFonts w:ascii="Times New Roman" w:hAnsi="Times New Roman"/>
          <w:b/>
          <w:color w:val="000000"/>
          <w:sz w:val="20"/>
        </w:rPr>
      </w:pPr>
      <w:bookmarkStart w:id="24" w:name="item_9b_other_information"/>
      <w:bookmarkEnd w:id="24"/>
      <w:r>
        <w:rPr>
          <w:rFonts w:ascii="Times New Roman" w:hAnsi="Times New Roman"/>
          <w:b/>
          <w:color w:val="000000"/>
          <w:sz w:val="20"/>
        </w:rPr>
        <w:t>Item 9B. Other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Rule 10b5-1 Plan and Non-Rule 10b5-1 Trading Arrangement Adoptions, Terminations, and Modifications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During the three months ended December 31, 2025, none of our directors or officers adopted, terminated, or modified a "Rule 10b5-1 trading arrangement" or a "non-Rule 10b5-1 trading arrangement," as each term is defined in Item 408(a) of Regulation S-K. </w:t>
      </w:r>
    </w:p>
    <w:p>
      <w:pPr>
        <w:pStyle w:val="TextBody"/>
        <w:bidi w:val="0"/>
        <w:spacing w:before="120" w:after="120"/>
        <w:jc w:val="both"/>
        <w:rPr>
          <w:rFonts w:ascii="Times New Roman" w:hAnsi="Times New Roman"/>
          <w:b/>
          <w:color w:val="000000"/>
          <w:sz w:val="20"/>
        </w:rPr>
      </w:pPr>
      <w:bookmarkStart w:id="25" w:name="item_9c_foreign_jurisdiction"/>
      <w:bookmarkEnd w:id="25"/>
      <w:r>
        <w:rPr>
          <w:rFonts w:ascii="Times New Roman" w:hAnsi="Times New Roman"/>
          <w:b/>
          <w:color w:val="000000"/>
          <w:sz w:val="20"/>
        </w:rPr>
        <w:t>Item 9C. Disclosure Regarding Foreign Jurisdictions that Prevent Inspections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120" w:after="120"/>
        <w:jc w:val="left"/>
        <w:rPr>
          <w:rFonts w:ascii="Times New Roman" w:hAnsi="Times New Roman"/>
          <w:b/>
          <w:color w:val="000000"/>
          <w:sz w:val="20"/>
        </w:rPr>
      </w:pPr>
      <w:bookmarkStart w:id="26" w:name="item_10_directors_executive_officers"/>
      <w:bookmarkEnd w:id="26"/>
      <w:r>
        <w:rPr>
          <w:rFonts w:ascii="Times New Roman" w:hAnsi="Times New Roman"/>
          <w:b/>
          <w:color w:val="000000"/>
          <w:sz w:val="20"/>
        </w:rPr>
        <w:t>Item 10. Directors, Executive Officers and Corporate Governance.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have adopted a written code of business conduct and ethics (our “Code of Business Conduct and Ethics”), which applies to our directors, officers, and employees, including our principal executive officer, principal financial officer, principal accounting officer or controller, and persons performing similar functions. Our Code of Business Conduct and Ethics is available on our website at </w:t>
      </w:r>
      <w:r>
        <w:rPr>
          <w:rFonts w:ascii="Times New Roman" w:hAnsi="Times New Roman"/>
          <w:i/>
          <w:color w:val="000000"/>
          <w:sz w:val="20"/>
          <w:u w:val="single"/>
        </w:rPr>
        <w:t>www.sightsciences.com</w:t>
      </w:r>
      <w:r>
        <w:rPr>
          <w:rFonts w:ascii="Times New Roman" w:hAnsi="Times New Roman"/>
          <w:color w:val="000000"/>
          <w:sz w:val="20"/>
        </w:rPr>
        <w:t xml:space="preserve"> in the “Corporate Governance” section of the “Investors” page. In addition, we intend to post on our website all disclosures that are required by law concerning any amendments to, or waivers from, any provisions of our Code of Business Conduct and Ethics. The inclusion of our website address in this Annual Report on Form 10-K does not include or incorporate by reference the information on the website into this Annual Report on Form 10-K.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remaining information required by this item will be included in our definitive proxy statement for our 2026 Annual Meeting of Stockholders (the “2026 Proxy Statement”), expected to be filed with the SEC no later than 120 days after December 31, 2025 and is incorporated herein by reference.</w:t>
      </w:r>
    </w:p>
    <w:p>
      <w:pPr>
        <w:pStyle w:val="TextBody"/>
        <w:bidi w:val="0"/>
        <w:spacing w:before="0" w:after="120"/>
        <w:jc w:val="both"/>
        <w:rPr>
          <w:rFonts w:ascii="Times New Roman" w:hAnsi="Times New Roman"/>
          <w:b/>
          <w:color w:val="000000"/>
          <w:sz w:val="20"/>
        </w:rPr>
      </w:pPr>
      <w:bookmarkStart w:id="27" w:name="item_11_executive_compensation"/>
      <w:bookmarkEnd w:id="27"/>
      <w:r>
        <w:rPr>
          <w:rFonts w:ascii="Times New Roman" w:hAnsi="Times New Roman"/>
          <w:b/>
          <w:color w:val="000000"/>
          <w:sz w:val="20"/>
        </w:rPr>
        <w:t>Item 11. Executive Compensation.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required by this item will be included in the 2026 Proxy Statement and is incorporated herein by reference. </w:t>
      </w:r>
    </w:p>
    <w:p>
      <w:pPr>
        <w:pStyle w:val="TextBody"/>
        <w:bidi w:val="0"/>
        <w:spacing w:before="0" w:after="120"/>
        <w:jc w:val="both"/>
        <w:rPr>
          <w:rFonts w:ascii="Times New Roman" w:hAnsi="Times New Roman"/>
          <w:b/>
          <w:color w:val="000000"/>
          <w:sz w:val="20"/>
        </w:rPr>
      </w:pPr>
      <w:bookmarkStart w:id="28" w:name="item_12_security_ownership"/>
      <w:bookmarkEnd w:id="28"/>
      <w:r>
        <w:rPr>
          <w:rFonts w:ascii="Times New Roman" w:hAnsi="Times New Roman"/>
          <w:b/>
          <w:color w:val="000000"/>
          <w:sz w:val="20"/>
        </w:rPr>
        <w:t>Item 12. Security Ownership of Certain Beneficial Owners and Management and Related Stockholder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required by this item will be included in the 2026 Proxy Statement and is incorporated herein by reference.</w:t>
      </w:r>
    </w:p>
    <w:p>
      <w:pPr>
        <w:pStyle w:val="TextBody"/>
        <w:bidi w:val="0"/>
        <w:spacing w:before="0" w:after="120"/>
        <w:jc w:val="both"/>
        <w:rPr>
          <w:rFonts w:ascii="Times New Roman" w:hAnsi="Times New Roman"/>
          <w:b/>
          <w:color w:val="000000"/>
          <w:sz w:val="20"/>
        </w:rPr>
      </w:pPr>
      <w:bookmarkStart w:id="29" w:name="item_13_certain_relationships"/>
      <w:bookmarkEnd w:id="29"/>
      <w:r>
        <w:rPr>
          <w:rFonts w:ascii="Times New Roman" w:hAnsi="Times New Roman"/>
          <w:b/>
          <w:color w:val="000000"/>
          <w:sz w:val="20"/>
        </w:rPr>
        <w:t>Item 13. Certain Relationships and Related Transactions, and Director Independence.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required by this item will be included in the 2026 Proxy Statement and is incorporated herein by reference. </w:t>
      </w:r>
    </w:p>
    <w:p>
      <w:pPr>
        <w:pStyle w:val="TextBody"/>
        <w:bidi w:val="0"/>
        <w:spacing w:before="0" w:after="120"/>
        <w:jc w:val="both"/>
        <w:rPr>
          <w:rFonts w:ascii="Times New Roman" w:hAnsi="Times New Roman"/>
          <w:b/>
          <w:color w:val="000000"/>
          <w:sz w:val="20"/>
        </w:rPr>
      </w:pPr>
      <w:bookmarkStart w:id="30" w:name="item_14_principal_accounting_fees"/>
      <w:bookmarkEnd w:id="30"/>
      <w:r>
        <w:rPr>
          <w:rFonts w:ascii="Times New Roman" w:hAnsi="Times New Roman"/>
          <w:b/>
          <w:color w:val="000000"/>
          <w:sz w:val="20"/>
        </w:rPr>
        <w:t>Item 14. Principal Accountant Fees and Services.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required by this item will be included in the 2026 Proxy Statement and is incorporated herein by reference.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120" w:after="120"/>
        <w:jc w:val="left"/>
        <w:rPr>
          <w:rFonts w:ascii="Times New Roman" w:hAnsi="Times New Roman"/>
          <w:b/>
          <w:color w:val="000000"/>
          <w:sz w:val="20"/>
        </w:rPr>
      </w:pPr>
      <w:bookmarkStart w:id="31" w:name="item_15_exhibits_financial_statement"/>
      <w:bookmarkEnd w:id="31"/>
      <w:r>
        <w:rPr>
          <w:rFonts w:ascii="Times New Roman" w:hAnsi="Times New Roman"/>
          <w:b/>
          <w:color w:val="000000"/>
          <w:sz w:val="20"/>
        </w:rPr>
        <w:t>Item 15. Exhibits, Financial Statement Schedules.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Statements of Operations and Comprehensive Loss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Statements of Stockholders’ Equity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Notes to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financial statement schedules are omitted because they are not applicable or the amounts are immaterial or the required information is presented in the financial statements and notes thereto.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Exhibits: Exhibit Index has been submitted as a separate section of this Annual Report on Form 10-K.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Exhibit Index has been submitted as a separate section of this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left"/>
        <w:rPr>
          <w:rFonts w:ascii="Times New Roman" w:hAnsi="Times New Roman"/>
          <w:b/>
          <w:color w:val="000000"/>
          <w:sz w:val="20"/>
        </w:rPr>
      </w:pPr>
      <w:bookmarkStart w:id="32" w:name="item_16_form_10_k_summary"/>
      <w:bookmarkEnd w:id="32"/>
      <w:r>
        <w:rPr>
          <w:rFonts w:ascii="Times New Roman" w:hAnsi="Times New Roman"/>
          <w:b/>
          <w:color w:val="000000"/>
          <w:sz w:val="20"/>
        </w:rPr>
        <w:t>Item 16. Form 10-K Summary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5364"/>
        <w:gridCol w:w="535"/>
        <w:gridCol w:w="890"/>
        <w:gridCol w:w="631"/>
        <w:gridCol w:w="749"/>
        <w:gridCol w:w="1330"/>
      </w:tblGrid>
      <w:tr>
        <w:trPr/>
        <w:tc>
          <w:tcPr>
            <w:tcW w:w="706" w:type="dxa"/>
            <w:tcBorders/>
            <w:vAlign w:val="center"/>
          </w:tcPr>
          <w:p>
            <w:pPr>
              <w:pStyle w:val="TableContents"/>
              <w:bidi w:val="0"/>
              <w:spacing w:before="0" w:after="283"/>
              <w:jc w:val="left"/>
              <w:rPr>
                <w:sz w:val="4"/>
                <w:szCs w:val="4"/>
              </w:rPr>
            </w:pPr>
            <w:r>
              <w:rPr>
                <w:sz w:val="4"/>
                <w:szCs w:val="4"/>
              </w:rPr>
            </w:r>
          </w:p>
        </w:tc>
        <w:tc>
          <w:tcPr>
            <w:tcW w:w="536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36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9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3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Furnished 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Sight Sciences, Inc.</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07/19/2021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Sight Sciences, Inc.</w:t>
              </w:r>
            </w:hyperlink>
            <w:hyperlink r:id="rId4">
              <w:r>
                <w:rPr>
                  <w:rStyle w:val="InternetLink"/>
                  <w:rFonts w:ascii="Times New Roman" w:hAnsi="Times New Roman"/>
                  <w:color w:val="0000FF"/>
                  <w:sz w:val="20"/>
                </w:rPr>
                <w:t xml:space="preserve"> </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07/19/2021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Third Amended and Restated Investors' Rights Agreement, dated November 23, 2020, as amended</w:t>
              </w:r>
            </w:hyperlink>
            <w:hyperlink r:id="rId6">
              <w:r>
                <w:rPr>
                  <w:rStyle w:val="InternetLink"/>
                  <w:rFonts w:ascii="Times New Roman" w:hAnsi="Times New Roman"/>
                  <w:color w:val="0000FF"/>
                  <w:sz w:val="20"/>
                </w:rPr>
                <w:t xml:space="preserve"> </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Specimen Stock Certificate evidencing the shares of common stock</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Capital Stock</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3/13/2024</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Warrant</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1/23/2024</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Sight Sciences, Inc. 2011 Stock Incentive Plan, as amended, and U.K. sub-plan and forms of agreements thereunder</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6/23/2021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Sight Sciences, Inc. 2021 Incentive Award Plan and forms of option agreements thereunder</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Sight Sciences, Inc. 2021 Incentive Award Plan Sub-Plan for UK Employees and forms of Agreements thereunder</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05/10/2022</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Sight Sciences, Inc. Non-Employee Director Compensation Program</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3/7/2025</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Sight Sciences, Inc. 2021 Employee Stock Purchase Plan</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Indemnification Agreement for Directors and Officers</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Employment Agreement between Sight Sciences, Inc. and Paul Badawi, dated July 7, 2021</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Employment Agreement between Sight Sciences, Inc. and David Badawi, M.D., dated July 7, 2021</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07/08/2021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Employment Agreement between Sight Sciences, Inc. and Jeremy Hayden, dated July 7, 2021</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3/16/2023</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10_10.htm">
              <w:r>
                <w:rPr>
                  <w:rStyle w:val="InternetLink"/>
                  <w:rFonts w:ascii="Times New Roman" w:hAnsi="Times New Roman"/>
                  <w:color w:val="0000FF"/>
                  <w:sz w:val="20"/>
                  <w:u w:val="single"/>
                </w:rPr>
                <w:t>Amended and Restated Employment Agreement between Sight Sciences, Inc. and Alison Bauerlein, dated November 5, 2025</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Employment Agreement between Sight Sciences, Inc. and Brenton Taylor, effective as of November 4, 2024</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3/7/2025</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10_12.htm">
              <w:r>
                <w:rPr>
                  <w:rStyle w:val="InternetLink"/>
                  <w:rFonts w:ascii="Times New Roman" w:hAnsi="Times New Roman"/>
                  <w:color w:val="0000FF"/>
                  <w:sz w:val="20"/>
                  <w:u w:val="single"/>
                </w:rPr>
                <w:t>Employment Agreement between Sight Sciences, Inc. and James Rodberg, effective as of November 5, 2025</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Multi-Tenant Space Lease between Sight Sciences and Deerfield Campbell, LLC, dated February 5, 2021.</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06/23/2021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First Amendment to Multi-Tenant Space Lease between Sight Sciences and Deerfield Campbell, LLC, dated December 15, 2023</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3/13/2024</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10_15.htm">
              <w:r>
                <w:rPr>
                  <w:rStyle w:val="InternetLink"/>
                  <w:rFonts w:ascii="Times New Roman" w:hAnsi="Times New Roman"/>
                  <w:color w:val="0000FF"/>
                  <w:sz w:val="20"/>
                  <w:u w:val="single"/>
                </w:rPr>
                <w:t>Second Amendment to Multi-Tenant Space Lease between Sight Sciences and Deerfield Campbell, LLC, dated January 29, 2026</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Supply Agreement between Sight Sciences, Inc. and Peter's Technology (Suzhou CO., LTD., dated January 14, 2021</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333-257320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06/23/2021</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53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#1 to Supply Agreement between Sight Sciences, Inc. and Peter's Technology (Suzhou) CO. LTD., dated January 28, 2022</w:t>
              </w:r>
            </w:hyperlink>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03/24/2022</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
        <w:gridCol w:w="6787"/>
        <w:gridCol w:w="430"/>
        <w:gridCol w:w="781"/>
        <w:gridCol w:w="466"/>
        <w:gridCol w:w="742"/>
        <w:gridCol w:w="299"/>
      </w:tblGrid>
      <w:tr>
        <w:trPr/>
        <w:tc>
          <w:tcPr>
            <w:tcW w:w="700" w:type="dxa"/>
            <w:tcBorders/>
            <w:vAlign w:val="center"/>
          </w:tcPr>
          <w:p>
            <w:pPr>
              <w:pStyle w:val="TableContents"/>
              <w:bidi w:val="0"/>
              <w:spacing w:before="0" w:after="283"/>
              <w:jc w:val="left"/>
              <w:rPr>
                <w:sz w:val="4"/>
                <w:szCs w:val="4"/>
              </w:rPr>
            </w:pPr>
            <w:r>
              <w:rPr>
                <w:sz w:val="4"/>
                <w:szCs w:val="4"/>
              </w:rPr>
            </w:r>
          </w:p>
        </w:tc>
        <w:tc>
          <w:tcPr>
            <w:tcW w:w="678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Amendment #2 to Supply Agreement between Sight Sciences, Inc. and Peter's Technology (Suzhou) CO. LTD., dated July 19, 2022</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Loan and Security Agreement, by and among Sight Sciences, Inc., and certain affiliates of Hercules Capital Inc., and Hercules Capital Inc., dated January 22, 2024</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10_20.htm">
              <w:r>
                <w:rPr>
                  <w:rStyle w:val="InternetLink"/>
                  <w:rFonts w:ascii="Times New Roman" w:hAnsi="Times New Roman"/>
                  <w:color w:val="0000FF"/>
                  <w:sz w:val="20"/>
                  <w:u w:val="single"/>
                </w:rPr>
                <w:t>Second Amendment to Loan and Security Agreement, by and among Sight Sciences, Inc., certain affiliates of Hercules Capital, Inc., and Hercules Capital, Inc. dated June 17, 2025</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Third Amendment to Loan and Security Agreement, by and among Sight Sciences, Inc., certain affiliates of Hercules Capital, Inc., and Hercules Capital, Inc., dated September 30, 2025</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11/06/2025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19_1.htm">
              <w:r>
                <w:rPr>
                  <w:rStyle w:val="InternetLink"/>
                  <w:rFonts w:ascii="Times New Roman" w:hAnsi="Times New Roman"/>
                  <w:color w:val="0000FF"/>
                  <w:sz w:val="20"/>
                  <w:u w:val="single"/>
                </w:rPr>
                <w:t>Sight Sciences, Inc. Insider Trading Compliance Policy</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Subsidiaries of Sight Sciences, Inc.</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3/13/2024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23_1.htm">
              <w:r>
                <w:rPr>
                  <w:rStyle w:val="InternetLink"/>
                  <w:rFonts w:ascii="Times New Roman" w:hAnsi="Times New Roman"/>
                  <w:color w:val="0000FF"/>
                  <w:sz w:val="20"/>
                  <w:u w:val="single"/>
                </w:rPr>
                <w:t>Consent of Deloitte &amp; Touche LLP</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24_1.htm">
              <w:r>
                <w:rPr>
                  <w:rStyle w:val="InternetLink"/>
                  <w:rFonts w:ascii="Times New Roman" w:hAnsi="Times New Roman"/>
                  <w:color w:val="0000FF"/>
                  <w:sz w:val="20"/>
                  <w:u w:val="single"/>
                </w:rPr>
                <w:t>Power of Attorney</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20"/>
                  <w:u w:val="single"/>
                </w:rPr>
                <w:t>Certification of the Principal Executive Officer pursuant to Rule 13a-14(a) under the Exchange Act, as adopted pursuant to Section 302 of the Sarbanes-Oxley Act</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20"/>
                  <w:u w:val="single"/>
                </w:rPr>
                <w:t>Certification of the Principal Financial Officer pursuant to Rule 13a-14(a) under the Exchange Act, as adopted pursuant to Section 302 of the Sarbanes-Oxley Act</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20"/>
                  <w:u w:val="single"/>
                </w:rPr>
                <w:t>Certification of the Principal Executive Officer pursuant to 18 U.S.C. Section 1350 , as adopted pursuant to Section 906 of the Sarbanes-Oxley Act</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20"/>
                  <w:u w:val="single"/>
                </w:rPr>
                <w:t>Certification of the Principal Financial Officer pursuant to 18 U.S.C. Section 1350 , as adopted pursuant to Section 906 of the Sarbanes-Oxley Act</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Sight Sciences, Inc. Policy for Recovery of Erroneously Awarded Compensation</w:t>
              </w:r>
            </w:hyperlink>
          </w:p>
        </w:tc>
        <w:tc>
          <w:tcPr>
            <w:tcW w:w="4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03/13/2024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this exhibit are redacted in accordance with Item 601(b)(10)(iv) of Regulation S-K. The Company agrees to furnish an unredacted copy of such exhibit, or a copy of any omitted schedule or exhibit, to the SEC upon request.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972" w:type="dxa"/>
        <w:jc w:val="left"/>
        <w:tblInd w:w="0" w:type="dxa"/>
        <w:tblLayout w:type="fixed"/>
        <w:tblCellMar>
          <w:top w:w="28" w:type="dxa"/>
          <w:left w:w="28" w:type="dxa"/>
          <w:bottom w:w="28" w:type="dxa"/>
          <w:right w:w="28" w:type="dxa"/>
        </w:tblCellMar>
      </w:tblPr>
      <w:tblGrid>
        <w:gridCol w:w="1786"/>
        <w:gridCol w:w="109"/>
        <w:gridCol w:w="406"/>
        <w:gridCol w:w="567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6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Rodberg</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541" w:type="dxa"/>
        <w:jc w:val="left"/>
        <w:tblInd w:w="0" w:type="dxa"/>
        <w:tblLayout w:type="fixed"/>
        <w:tblCellMar>
          <w:top w:w="28" w:type="dxa"/>
          <w:left w:w="28" w:type="dxa"/>
          <w:bottom w:w="28" w:type="dxa"/>
          <w:right w:w="28" w:type="dxa"/>
        </w:tblCellMar>
      </w:tblPr>
      <w:tblGrid>
        <w:gridCol w:w="2026"/>
        <w:gridCol w:w="109"/>
        <w:gridCol w:w="3961"/>
        <w:gridCol w:w="109"/>
        <w:gridCol w:w="1336"/>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Signature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Badawi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and Director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Paul Badawi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Rodberg</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(Principal Financial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Rodberg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and Accounting Officer)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Staffan Encrantz</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Chairperson of the Board of Directors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Staffan Encrantz</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Badawi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Technology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 Badawi,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Tamara Fountain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Tamara Fountain,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Gerhard Burbach</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Gerhard Burbach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Catherine Mazzacco</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Catherine Mazzacco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Donald Zurbay</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Donald Zurbay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u w:val="single"/>
        </w:rPr>
      </w:pPr>
      <w:bookmarkStart w:id="33" w:name="sght-ex10_10.htm"/>
      <w:bookmarkStart w:id="34" w:name="kssghtex10_10"/>
      <w:bookmarkEnd w:id="33"/>
      <w:bookmarkEnd w:id="34"/>
      <w:r>
        <w:rPr>
          <w:rFonts w:ascii="Times New Roman" w:hAnsi="Times New Roman"/>
          <w:b/>
          <w:color w:val="000000"/>
          <w:sz w:val="20"/>
          <w:u w:val="single"/>
        </w:rPr>
        <w:t>Exhibit 10.10</w:t>
      </w:r>
      <w:r>
        <w:br w:type="page"/>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Amended and Restated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Amended and Restated Employment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effective as of November 5, 2025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is made by and between Sight Sciences, Inc., a Delaware corporation (together with any successor thereto,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Alison Bauerlein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(collectively referred to herein as the “</w:t>
      </w:r>
      <w:r>
        <w:rPr>
          <w:rFonts w:ascii="Times New Roman" w:hAnsi="Times New Roman"/>
          <w:color w:val="000000"/>
          <w:sz w:val="22"/>
          <w:u w:val="single"/>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color w:val="000000"/>
          <w:sz w:val="22"/>
          <w:u w:val="single"/>
        </w:rPr>
        <w:t>Party</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Executive is currently employed by the Company pursuant to the Employment Agreement between the Company and Executive, dated April 3, 2025 (the “Original Employment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and Executive now desire to amend and restate the Original Employment Agreement in full in order to modify certain terms and conditions thereof in connection with Executive’s appointment as Chief Operating Officer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It is the desire of the Company to assure itself of the services of Executive as of the Effective Date and thereafter by entering into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D. Executive and the Company mutually desire that Executive provide services to the Company on the terms herein provided.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and of the respective covenants and agreements set forth below, the Parties hereto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2"/>
          <w:u w:val="single"/>
        </w:rPr>
        <w:t>Employment</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Effective on the Effective Date, the Company shall commence employment of Executive for the period and in the positions set forth in this </w:t>
      </w:r>
      <w:r>
        <w:rPr>
          <w:rFonts w:ascii="Times New Roman" w:hAnsi="Times New Roman"/>
          <w:color w:val="000000"/>
          <w:sz w:val="22"/>
          <w:u w:val="single"/>
        </w:rPr>
        <w:t>Section 1</w:t>
      </w:r>
      <w:r>
        <w:rPr>
          <w:rFonts w:ascii="Times New Roman" w:hAnsi="Times New Roman"/>
          <w:color w:val="000000"/>
          <w:sz w:val="22"/>
        </w:rPr>
        <w:t>, and subject to the other terms and conditions herein provided.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At-Will Employment</w:t>
      </w:r>
      <w:r>
        <w:rPr>
          <w:rFonts w:ascii="Times New Roman" w:hAnsi="Times New Roman"/>
          <w:color w:val="000000"/>
          <w:sz w:val="22"/>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Times New Roman" w:hAnsi="Times New Roman"/>
          <w:color w:val="000000"/>
          <w:sz w:val="22"/>
          <w:u w:val="single"/>
        </w:rPr>
        <w:t>Section 3(b)</w:t>
      </w:r>
      <w:r>
        <w:rPr>
          <w:rFonts w:ascii="Times New Roman" w:hAnsi="Times New Roman"/>
          <w:color w:val="000000"/>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color w:val="000000"/>
          <w:sz w:val="22"/>
          <w:u w:val="single"/>
        </w:rPr>
        <w:t>Term</w:t>
      </w:r>
      <w:r>
        <w:rPr>
          <w:color w:val="000000"/>
        </w:rPr>
        <w:t>”</w:t>
      </w:r>
      <w:r>
        <w:rPr>
          <w:rFonts w:ascii="Times New Roman" w:hAnsi="Times New Roman"/>
          <w:color w:val="000000"/>
          <w:sz w:val="22"/>
        </w:rPr>
        <w:t xml:space="preserve">) shall commence on the Effective Date and end on the date this Agreement is terminated under </w:t>
      </w:r>
      <w:r>
        <w:rPr>
          <w:rFonts w:ascii="Times New Roman" w:hAnsi="Times New Roman"/>
          <w:color w:val="000000"/>
          <w:sz w:val="22"/>
          <w:u w:val="single"/>
        </w:rPr>
        <w:t>Section 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Positions and Duties</w:t>
      </w:r>
      <w:r>
        <w:rPr>
          <w:rFonts w:ascii="Times New Roman" w:hAnsi="Times New Roman"/>
          <w:color w:val="000000"/>
          <w:sz w:val="22"/>
        </w:rPr>
        <w:t xml:space="preserve">. During the Term, Executive shall serve as Chief Operating Officer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|US-DOCS\124478299.1||</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of the Company (which shall include service to its affiliates, if applicable) and shall not engage in outside business activities (including serving on outside boards or committees) without the consent of the Board of Directors of the Company or an authorized committee of the Board (in either case, the “</w:t>
      </w:r>
      <w:r>
        <w:rPr>
          <w:rFonts w:ascii="Times New Roman" w:hAnsi="Times New Roman"/>
          <w:color w:val="000000"/>
          <w:sz w:val="22"/>
          <w:u w:val="single"/>
        </w:rPr>
        <w:t>Board</w:t>
      </w:r>
      <w:r>
        <w:rPr>
          <w:color w:val="000000"/>
        </w:rPr>
        <w:t>”</w:t>
      </w:r>
      <w:r>
        <w:rPr>
          <w:rFonts w:ascii="Times New Roman" w:hAnsi="Times New Roman"/>
          <w:color w:val="000000"/>
          <w:sz w:val="22"/>
        </w:rPr>
        <w:t>), provided that Executive shall be permitted to (i) manage Executive’s personal, financial and legal affairs, (ii) participate in trade associations, (iii) continue to serve on those private and public company boards of directors on which Executive is serving as of the Effective Date, and (iv)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hAnsi="Times New Roman"/>
          <w:color w:val="000000"/>
          <w:sz w:val="22"/>
          <w:u w:val="single"/>
        </w:rPr>
        <w:t>Policy</w:t>
      </w:r>
      <w:r>
        <w:rPr>
          <w:color w:val="000000"/>
        </w:rPr>
        <w:t>”</w:t>
      </w:r>
      <w:r>
        <w:rPr>
          <w:rFonts w:ascii="Times New Roman" w:hAnsi="Times New Roman"/>
          <w:color w:val="000000"/>
          <w:sz w:val="22"/>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2"/>
          <w:u w:val="single"/>
        </w:rPr>
        <w:t>Compensation and Related Matters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Annual Base Salary</w:t>
      </w:r>
      <w:r>
        <w:rPr>
          <w:rFonts w:ascii="Times New Roman" w:hAnsi="Times New Roman"/>
          <w:color w:val="000000"/>
          <w:sz w:val="22"/>
        </w:rPr>
        <w:t>. During the Term, Executive shall receive a base salary at a rate of $485,000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Times New Roman" w:hAnsi="Times New Roman"/>
          <w:color w:val="000000"/>
          <w:sz w:val="22"/>
          <w:u w:val="single"/>
        </w:rPr>
        <w:t>Annual Base Salary</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Annual Cash Bonus</w:t>
      </w:r>
      <w:bookmarkStart w:id="35" w:name="ole_link1"/>
      <w:bookmarkEnd w:id="35"/>
      <w:r>
        <w:rPr>
          <w:color w:val="000000"/>
          <w:u w:val="single"/>
        </w:rPr>
        <w:t xml:space="preserve"> </w:t>
      </w:r>
      <w:r>
        <w:rPr>
          <w:rFonts w:ascii="Times New Roman" w:hAnsi="Times New Roman"/>
          <w:color w:val="000000"/>
          <w:sz w:val="22"/>
          <w:u w:val="single"/>
        </w:rPr>
        <w:t>Opportunity</w:t>
      </w:r>
      <w:r>
        <w:rPr>
          <w:rFonts w:ascii="Times New Roman" w:hAnsi="Times New Roman"/>
          <w:color w:val="000000"/>
          <w:sz w:val="22"/>
        </w:rPr>
        <w:t>. During the Term, Executive will be eligible to participate in an annual incentive program established by the Board. Executive’s annual incentive compensation under such incentive program (the “</w:t>
      </w:r>
      <w:r>
        <w:rPr>
          <w:rFonts w:ascii="Times New Roman" w:hAnsi="Times New Roman"/>
          <w:color w:val="000000"/>
          <w:sz w:val="22"/>
          <w:u w:val="single"/>
        </w:rPr>
        <w:t>Annual Bonus</w:t>
      </w:r>
      <w:r>
        <w:rPr>
          <w:color w:val="000000"/>
        </w:rPr>
        <w:t>”</w:t>
      </w:r>
      <w:r>
        <w:rPr>
          <w:rFonts w:ascii="Times New Roman" w:hAnsi="Times New Roman"/>
          <w:color w:val="000000"/>
          <w:sz w:val="22"/>
        </w:rPr>
        <w:t>) shall be targeted at 65% of Executive’s Annual Base Salary (such target, as may be adjusted by the Board from time to time, the “</w:t>
      </w:r>
      <w:r>
        <w:rPr>
          <w:rFonts w:ascii="Times New Roman" w:hAnsi="Times New Roman"/>
          <w:color w:val="000000"/>
          <w:sz w:val="22"/>
          <w:u w:val="single"/>
        </w:rPr>
        <w:t>Target Annual Bonus</w:t>
      </w:r>
      <w:r>
        <w:rPr>
          <w:color w:val="000000"/>
        </w:rPr>
        <w:t>”</w:t>
      </w:r>
      <w:r>
        <w:rPr>
          <w:rFonts w:ascii="Times New Roman" w:hAnsi="Times New Roman"/>
          <w:color w:val="000000"/>
          <w:sz w:val="22"/>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 w:hAnsi="Times New Roman"/>
          <w:color w:val="000000"/>
          <w:sz w:val="22"/>
          <w:u w:val="single"/>
        </w:rPr>
        <w:t>Section 4(b)</w:t>
      </w:r>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Benefits</w:t>
      </w:r>
      <w:r>
        <w:rPr>
          <w:rFonts w:ascii="Times New Roman" w:hAnsi="Times New Roman"/>
          <w:color w:val="00000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Vacation</w:t>
      </w:r>
      <w:r>
        <w:rPr>
          <w:rFonts w:ascii="Times New Roman" w:hAnsi="Times New Roman"/>
          <w:color w:val="000000"/>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Business Expenses</w:t>
      </w:r>
      <w:r>
        <w:rPr>
          <w:rFonts w:ascii="Times New Roman" w:hAnsi="Times New Roman"/>
          <w:color w:val="000000"/>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Clawback of Incentive Compensation</w:t>
      </w:r>
      <w:r>
        <w:rPr>
          <w:rFonts w:ascii="Times New Roman" w:hAnsi="Times New Roman"/>
          <w:color w:val="000000"/>
          <w:sz w:val="22"/>
        </w:rPr>
        <w:t>. Notwithstanding the foregoing, all incentive compensation payable to Executive during the Term of this Agreement shall be subject to clawback in accordance with Company policies, as may be adopted and/or amended from time to time, in accordance with applicable law, including, without limitation, SEC rules and regulations and/or rules of the exchange on which the Company’s equity securities may be listed from time to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Key Person Insurance</w:t>
      </w:r>
      <w:r>
        <w:rPr>
          <w:rFonts w:ascii="Times New Roman" w:hAnsi="Times New Roman"/>
          <w:color w:val="000000"/>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2"/>
          <w:u w:val="single"/>
        </w:rPr>
        <w:t>Termination</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Circumstances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Death</w:t>
      </w:r>
      <w:r>
        <w:rPr>
          <w:rFonts w:ascii="Times New Roman" w:hAnsi="Times New Roman"/>
          <w:color w:val="000000"/>
          <w:sz w:val="22"/>
        </w:rPr>
        <w:t>. Executive’s employment hereunder shall terminate upon Executive’s death.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Disability</w:t>
      </w:r>
      <w:r>
        <w:rPr>
          <w:rFonts w:ascii="Times New Roman" w:hAnsi="Times New Roman"/>
          <w:color w:val="000000"/>
          <w:sz w:val="22"/>
        </w:rPr>
        <w:t>. If Executive has incurred a Disability, as defined below, the Company may terminate Executive’s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Termination for Cause</w:t>
      </w:r>
      <w:r>
        <w:rPr>
          <w:rFonts w:ascii="Times New Roman" w:hAnsi="Times New Roman"/>
          <w:color w:val="000000"/>
          <w:sz w:val="22"/>
        </w:rPr>
        <w:t>. The Company may terminate Executive’s employment for Cause, as defined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Termination without Cause</w:t>
      </w:r>
      <w:r>
        <w:rPr>
          <w:rFonts w:ascii="Times New Roman" w:hAnsi="Times New Roman"/>
          <w:color w:val="000000"/>
          <w:sz w:val="22"/>
        </w:rPr>
        <w:t>. The Company may terminate Executive’s employment without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 xml:space="preserve">Resignation from the Company with Good Reason. </w:t>
      </w:r>
      <w:r>
        <w:rPr>
          <w:rFonts w:ascii="Times New Roman" w:hAnsi="Times New Roman"/>
          <w:color w:val="000000"/>
          <w:sz w:val="22"/>
        </w:rPr>
        <w:t>Executive may resign Executive’s employment with the Company with Good Reason, as defined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pPr>
      <w:r>
        <w:rPr>
          <w:rFonts w:ascii="Times New Roman" w:hAnsi="Times New Roman"/>
          <w:i/>
          <w:color w:val="000000"/>
          <w:sz w:val="22"/>
        </w:rPr>
        <w:t>Resignation from the Company without Good Reason</w:t>
      </w:r>
      <w:r>
        <w:rPr>
          <w:rFonts w:ascii="Times New Roman" w:hAnsi="Times New Roman"/>
          <w:color w:val="000000"/>
          <w:sz w:val="22"/>
        </w:rPr>
        <w:t>. Executive may resign Executive’s employment with the Company for any reason other than Good Reason or for no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Notice of Termination</w:t>
      </w:r>
      <w:r>
        <w:rPr>
          <w:rFonts w:ascii="Times New Roman" w:hAnsi="Times New Roman"/>
          <w:color w:val="000000"/>
          <w:sz w:val="22"/>
        </w:rPr>
        <w:t xml:space="preserve">. Any termination of Executive’s employment by the Company or by Executive under this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 xml:space="preserve">(other than termination pursuant to </w:t>
      </w:r>
      <w:r>
        <w:rPr>
          <w:rFonts w:ascii="Times New Roman" w:hAnsi="Times New Roman"/>
          <w:color w:val="000000"/>
          <w:sz w:val="22"/>
          <w:u w:val="single"/>
        </w:rPr>
        <w:t>Section 3(a)(i))</w:t>
      </w:r>
      <w:r>
        <w:rPr>
          <w:color w:val="000000"/>
        </w:rPr>
        <w:t xml:space="preserve"> </w:t>
      </w:r>
      <w:r>
        <w:rPr>
          <w:rFonts w:ascii="Times New Roman" w:hAnsi="Times New Roman"/>
          <w:color w:val="000000"/>
          <w:sz w:val="22"/>
        </w:rPr>
        <w:t>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color w:val="000000"/>
          <w:sz w:val="22"/>
          <w:u w:val="single"/>
        </w:rPr>
        <w:t>Notice of Termination</w:t>
      </w:r>
      <w:r>
        <w:rPr>
          <w:color w:val="000000"/>
        </w:rPr>
        <w:t>”</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xml:space="preserve">,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Company Obligations upon Termination</w:t>
      </w:r>
      <w:r>
        <w:rPr>
          <w:rFonts w:ascii="Times New Roman" w:hAnsi="Times New Roman"/>
          <w:color w:val="000000"/>
          <w:sz w:val="22"/>
        </w:rPr>
        <w:t xml:space="preserve">. Upon termination of Executive’s employment pursuant to any of the circumstances listed in this </w:t>
      </w:r>
      <w:r>
        <w:rPr>
          <w:rFonts w:ascii="Times New Roman" w:hAnsi="Times New Roman"/>
          <w:color w:val="000000"/>
          <w:sz w:val="22"/>
          <w:u w:val="single"/>
        </w:rPr>
        <w:t>Section 3</w:t>
      </w:r>
      <w:r>
        <w:rPr>
          <w:rFonts w:ascii="Times New Roman" w:hAnsi="Times New Roman"/>
          <w:color w:val="000000"/>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hAnsi="Times New Roman"/>
          <w:color w:val="000000"/>
          <w:sz w:val="22"/>
          <w:u w:val="single"/>
        </w:rPr>
        <w:t>Section 2(e)</w:t>
      </w:r>
      <w:r>
        <w:rPr>
          <w:rFonts w:ascii="Times New Roman" w:hAnsi="Times New Roman"/>
          <w:color w:val="000000"/>
          <w:sz w:val="22"/>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color w:val="000000"/>
          <w:sz w:val="22"/>
          <w:u w:val="single"/>
        </w:rPr>
        <w:t>Company Arrangements</w:t>
      </w:r>
      <w:r>
        <w:rPr>
          <w:color w:val="000000"/>
        </w:rPr>
        <w:t>”</w:t>
      </w:r>
      <w:r>
        <w:rPr>
          <w:rFonts w:ascii="Times New Roman" w:hAnsi="Times New Roman"/>
          <w:color w:val="000000"/>
          <w:sz w:val="22"/>
        </w:rPr>
        <w:t xml:space="preserve">). Except as otherwise expressly required by law (e.g.,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color w:val="000000"/>
          <w:sz w:val="22"/>
          <w:u w:val="single"/>
        </w:rPr>
        <w:t xml:space="preserve">Section 3(c)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2"/>
        </w:rPr>
        <w:t xml:space="preserve">, as applicable.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Deemed Resignation</w:t>
      </w:r>
      <w:r>
        <w:rPr>
          <w:rFonts w:ascii="Times New Roman" w:hAnsi="Times New Roman"/>
          <w:color w:val="000000"/>
          <w:sz w:val="22"/>
        </w:rPr>
        <w:t>. Upon termination of Executive’s employment for any reason, Executive shall be deemed to have resigned from all offices and directorships, if any, then held with the Company or any of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2"/>
          <w:u w:val="single"/>
        </w:rPr>
        <w:t>Severance Payments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Termination for Cause, or Termination Upon Death, Disability or Resignation from the Company Without Good Reason</w:t>
      </w:r>
      <w:r>
        <w:rPr>
          <w:rFonts w:ascii="Times New Roman" w:hAnsi="Times New Roman"/>
          <w:color w:val="000000"/>
          <w:sz w:val="22"/>
        </w:rPr>
        <w:t xml:space="preserve">. If Executive’s employment shall terminate as a result of Executive’s death pursuant to </w:t>
      </w:r>
      <w:r>
        <w:rPr>
          <w:rFonts w:ascii="Times New Roman" w:hAnsi="Times New Roman"/>
          <w:color w:val="000000"/>
          <w:sz w:val="22"/>
          <w:u w:val="single"/>
        </w:rPr>
        <w:t>Section 3(a)(i)</w:t>
      </w:r>
      <w:r>
        <w:rPr>
          <w:color w:val="000000"/>
        </w:rPr>
        <w:t xml:space="preserve"> </w:t>
      </w:r>
      <w:r>
        <w:rPr>
          <w:rFonts w:ascii="Times New Roman" w:hAnsi="Times New Roman"/>
          <w:color w:val="000000"/>
          <w:sz w:val="22"/>
        </w:rPr>
        <w:t xml:space="preserve">or Disability pursuant to </w:t>
      </w:r>
      <w:r>
        <w:rPr>
          <w:rFonts w:ascii="Times New Roman" w:hAnsi="Times New Roman"/>
          <w:color w:val="000000"/>
          <w:sz w:val="22"/>
          <w:u w:val="single"/>
        </w:rPr>
        <w:t>Section 3(a)(ii)</w:t>
      </w:r>
      <w:r>
        <w:rPr>
          <w:rFonts w:ascii="Times New Roman" w:hAnsi="Times New Roman"/>
          <w:color w:val="000000"/>
          <w:sz w:val="22"/>
        </w:rPr>
        <w:t xml:space="preserve">, pursuant to </w:t>
      </w:r>
      <w:r>
        <w:rPr>
          <w:rFonts w:ascii="Times New Roman" w:hAnsi="Times New Roman"/>
          <w:color w:val="000000"/>
          <w:sz w:val="22"/>
          <w:u w:val="single"/>
        </w:rPr>
        <w:t>Section 3(a)(iii)</w:t>
      </w:r>
      <w:r>
        <w:rPr>
          <w:color w:val="000000"/>
        </w:rPr>
        <w:t xml:space="preserve"> </w:t>
      </w:r>
      <w:r>
        <w:rPr>
          <w:rFonts w:ascii="Times New Roman" w:hAnsi="Times New Roman"/>
          <w:color w:val="000000"/>
          <w:sz w:val="22"/>
        </w:rPr>
        <w:t xml:space="preserve">for Cause, or pursuant to </w:t>
      </w:r>
      <w:r>
        <w:rPr>
          <w:rFonts w:ascii="Times New Roman" w:hAnsi="Times New Roman"/>
          <w:color w:val="000000"/>
          <w:sz w:val="22"/>
          <w:u w:val="single"/>
        </w:rPr>
        <w:t>Section 3(a)(vi)</w:t>
      </w:r>
      <w:r>
        <w:rPr>
          <w:color w:val="000000"/>
        </w:rPr>
        <w:t xml:space="preserve"> </w:t>
      </w:r>
      <w:r>
        <w:rPr>
          <w:rFonts w:ascii="Times New Roman" w:hAnsi="Times New Roman"/>
          <w:color w:val="000000"/>
          <w:sz w:val="22"/>
        </w:rPr>
        <w:t xml:space="preserve">for Executive’s resignation from the Company without Good Reason, then Executive shall not be entitled to any severance payments or benefits, except as provided in </w:t>
      </w:r>
      <w:r>
        <w:rPr>
          <w:rFonts w:ascii="Times New Roman" w:hAnsi="Times New Roman"/>
          <w:color w:val="000000"/>
          <w:sz w:val="22"/>
          <w:u w:val="single"/>
        </w:rPr>
        <w:t>Section 3(c)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Termination without Cause or Resignation from the Company with Good Reason</w:t>
      </w:r>
      <w:r>
        <w:rPr>
          <w:rFonts w:ascii="Times New Roman" w:hAnsi="Times New Roman"/>
          <w:color w:val="000000"/>
          <w:sz w:val="22"/>
        </w:rPr>
        <w:t xml:space="preserve">. If Executive’s employment terminates without Cause pursuant to </w:t>
      </w:r>
      <w:r>
        <w:rPr>
          <w:rFonts w:ascii="Times New Roman" w:hAnsi="Times New Roman"/>
          <w:color w:val="000000"/>
          <w:sz w:val="22"/>
          <w:u w:val="single"/>
        </w:rPr>
        <w:t>Section 3(a)(iv)</w:t>
      </w:r>
      <w:r>
        <w:rPr>
          <w:rFonts w:ascii="Times New Roman" w:hAnsi="Times New Roman"/>
          <w:color w:val="000000"/>
          <w:sz w:val="22"/>
        </w:rPr>
        <w:t xml:space="preserve">, or pursuant to </w:t>
      </w:r>
      <w:r>
        <w:rPr>
          <w:rFonts w:ascii="Times New Roman" w:hAnsi="Times New Roman"/>
          <w:color w:val="000000"/>
          <w:sz w:val="22"/>
          <w:u w:val="single"/>
        </w:rPr>
        <w:t>Section 3(a)(v)</w:t>
      </w:r>
      <w:r>
        <w:rPr>
          <w:color w:val="000000"/>
        </w:rPr>
        <w:t xml:space="preserve"> </w:t>
      </w:r>
      <w:r>
        <w:rPr>
          <w:rFonts w:ascii="Times New Roman" w:hAnsi="Times New Roman"/>
          <w:color w:val="000000"/>
          <w:sz w:val="22"/>
        </w:rPr>
        <w:t xml:space="preserve">due to Executive’s resignation with Good Reason, then except as otherwise provided under </w:t>
      </w:r>
      <w:r>
        <w:rPr>
          <w:rFonts w:ascii="Times New Roman" w:hAnsi="Times New Roman"/>
          <w:color w:val="000000"/>
          <w:sz w:val="22"/>
          <w:u w:val="single"/>
        </w:rPr>
        <w:t>Section 4(c)</w:t>
      </w:r>
      <w:r>
        <w:rPr>
          <w:color w:val="000000"/>
        </w:rPr>
        <w:t xml:space="preserve"> </w:t>
      </w:r>
      <w:r>
        <w:rPr>
          <w:rFonts w:ascii="Times New Roman" w:hAnsi="Times New Roman"/>
          <w:color w:val="000000"/>
          <w:sz w:val="22"/>
        </w:rPr>
        <w:t xml:space="preserve">and subject to Executive signing on or before the 21st day following Executive’s Separation from Service (as defined below), and not revoking, a release of claims substantially in the form attached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to this Agreement (the “</w:t>
      </w:r>
      <w:r>
        <w:rPr>
          <w:rFonts w:ascii="Times New Roman" w:hAnsi="Times New Roman"/>
          <w:color w:val="000000"/>
          <w:sz w:val="22"/>
          <w:u w:val="single"/>
        </w:rPr>
        <w:t>Release</w:t>
      </w:r>
      <w:r>
        <w:rPr>
          <w:color w:val="000000"/>
        </w:rPr>
        <w:t>”</w:t>
      </w:r>
      <w:r>
        <w:rPr>
          <w:rFonts w:ascii="Times New Roman" w:hAnsi="Times New Roman"/>
          <w:color w:val="000000"/>
          <w:sz w:val="22"/>
        </w:rPr>
        <w:t xml:space="preserve">) and Executive’s continued compliance with </w:t>
      </w:r>
      <w:r>
        <w:rPr>
          <w:rFonts w:ascii="Times New Roman" w:hAnsi="Times New Roman"/>
          <w:color w:val="000000"/>
          <w:sz w:val="22"/>
          <w:u w:val="single"/>
        </w:rPr>
        <w:t>Section 5</w:t>
      </w:r>
      <w:r>
        <w:rPr>
          <w:rFonts w:ascii="Times New Roman" w:hAnsi="Times New Roman"/>
          <w:color w:val="000000"/>
          <w:sz w:val="22"/>
        </w:rPr>
        <w:t xml:space="preserve">, Executive shall receive, in addition to payments and benefits set forth in </w:t>
      </w:r>
      <w:r>
        <w:rPr>
          <w:rFonts w:ascii="Times New Roman" w:hAnsi="Times New Roman"/>
          <w:color w:val="000000"/>
          <w:sz w:val="22"/>
          <w:u w:val="single"/>
        </w:rPr>
        <w:t>Section 3(c)</w:t>
      </w:r>
      <w:r>
        <w:rPr>
          <w:rFonts w:ascii="Times New Roman" w:hAnsi="Times New Roman"/>
          <w:color w:val="000000"/>
          <w:sz w:val="22"/>
        </w:rPr>
        <w: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an aggregate amount in cash equal to 1.0 times the Annual Base Salary, payable in the form of salary continuation in regular installments over the 12 month period following the date of Executive’s Separation from Service (the “</w:t>
      </w:r>
      <w:r>
        <w:rPr>
          <w:rFonts w:ascii="Times New Roman" w:hAnsi="Times New Roman"/>
          <w:color w:val="000000"/>
          <w:sz w:val="22"/>
          <w:u w:val="single"/>
        </w:rPr>
        <w:t>Severance Period</w:t>
      </w:r>
      <w:r>
        <w:rPr>
          <w:color w:val="000000"/>
        </w:rPr>
        <w:t>”</w:t>
      </w:r>
      <w:r>
        <w:rPr>
          <w:rFonts w:ascii="Times New Roman" w:hAnsi="Times New Roman"/>
          <w:color w:val="000000"/>
          <w:sz w:val="22"/>
        </w:rPr>
        <w:t>) in accordance with the Company’s normal payroll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which the Date of Termination occurs when bonuses for such prior fiscal year are paid in the ordinary course to actively employed senior executives of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color w:val="000000"/>
          <w:sz w:val="22"/>
          <w:u w:val="single"/>
        </w:rPr>
        <w:t>COBRA</w:t>
      </w:r>
      <w:r>
        <w:rPr>
          <w:color w:val="000000"/>
        </w:rPr>
        <w:t>”</w:t>
      </w:r>
      <w:r>
        <w:rPr>
          <w:rFonts w:ascii="Times New Roman" w:hAnsi="Times New Roman"/>
          <w:color w:val="000000"/>
          <w:sz w:val="22"/>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 w:hAnsi="Times New Roman"/>
          <w:color w:val="000000"/>
          <w:sz w:val="22"/>
          <w:u w:val="single"/>
        </w:rPr>
        <w:t>COBRA Continuation Period</w:t>
      </w:r>
      <w:r>
        <w:rPr>
          <w:color w:val="000000"/>
        </w:rPr>
        <w:t>”</w:t>
      </w:r>
      <w:r>
        <w:rPr>
          <w:rFonts w:ascii="Times New Roman" w:hAnsi="Times New Roman"/>
          <w:color w:val="000000"/>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In lieu of the payments and benefits set forth in </w:t>
      </w:r>
      <w:r>
        <w:rPr>
          <w:rFonts w:ascii="Times New Roman" w:hAnsi="Times New Roman"/>
          <w:color w:val="000000"/>
          <w:sz w:val="22"/>
          <w:u w:val="single"/>
        </w:rPr>
        <w:t>Section 4(b)</w:t>
      </w:r>
      <w:r>
        <w:rPr>
          <w:rFonts w:ascii="Times New Roman" w:hAnsi="Times New Roman"/>
          <w:color w:val="000000"/>
          <w:sz w:val="22"/>
        </w:rPr>
        <w:t xml:space="preserve">, in the event Executive’s employment terminates without Cause pursuant to </w:t>
      </w:r>
      <w:r>
        <w:rPr>
          <w:rFonts w:ascii="Times New Roman" w:hAnsi="Times New Roman"/>
          <w:color w:val="000000"/>
          <w:sz w:val="22"/>
          <w:u w:val="single"/>
        </w:rPr>
        <w:t>Section 3(a)(iv)</w:t>
      </w:r>
      <w:r>
        <w:rPr>
          <w:rFonts w:ascii="Times New Roman" w:hAnsi="Times New Roman"/>
          <w:color w:val="000000"/>
          <w:sz w:val="22"/>
        </w:rPr>
        <w:t xml:space="preserve">, or pursuant to </w:t>
      </w:r>
      <w:r>
        <w:rPr>
          <w:rFonts w:ascii="Times New Roman" w:hAnsi="Times New Roman"/>
          <w:color w:val="000000"/>
          <w:sz w:val="22"/>
          <w:u w:val="single"/>
        </w:rPr>
        <w:t>Section 3(a)(v)</w:t>
      </w:r>
      <w:r>
        <w:rPr>
          <w:color w:val="000000"/>
        </w:rPr>
        <w:t xml:space="preserve"> </w:t>
      </w:r>
      <w:r>
        <w:rPr>
          <w:rFonts w:ascii="Times New Roman" w:hAnsi="Times New Roman"/>
          <w:color w:val="000000"/>
          <w:sz w:val="22"/>
        </w:rPr>
        <w:t xml:space="preserve">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color w:val="000000"/>
          <w:sz w:val="22"/>
          <w:u w:val="single"/>
        </w:rPr>
        <w:t>Section 5</w:t>
      </w:r>
      <w:r>
        <w:rPr>
          <w:rFonts w:ascii="Times New Roman" w:hAnsi="Times New Roman"/>
          <w:color w:val="000000"/>
          <w:sz w:val="22"/>
        </w:rPr>
        <w:t xml:space="preserve">, Executive shall receive, in addition to the payments and benefits set forth in </w:t>
      </w:r>
      <w:r>
        <w:rPr>
          <w:rFonts w:ascii="Times New Roman" w:hAnsi="Times New Roman"/>
          <w:color w:val="000000"/>
          <w:sz w:val="22"/>
          <w:u w:val="single"/>
        </w:rPr>
        <w:t>Section 3(c)</w:t>
      </w:r>
      <w:r>
        <w:rPr>
          <w:rFonts w:ascii="Times New Roman" w:hAnsi="Times New Roman"/>
          <w:color w:val="000000"/>
          <w:sz w:val="22"/>
        </w:rPr>
        <w: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an aggregate amount in cash equal to 1.5 times the Annual Base Salary, payable in equal installments over the 18 month period following the date of Executive’s Separation from Service (the “</w:t>
      </w:r>
      <w:r>
        <w:rPr>
          <w:rFonts w:ascii="Times New Roman" w:hAnsi="Times New Roman"/>
          <w:color w:val="000000"/>
          <w:sz w:val="22"/>
          <w:u w:val="single"/>
        </w:rPr>
        <w:t>CIC Severance Period</w:t>
      </w:r>
      <w:r>
        <w:rPr>
          <w:color w:val="000000"/>
        </w:rPr>
        <w:t>”</w:t>
      </w:r>
      <w:r>
        <w:rPr>
          <w:rFonts w:ascii="Times New Roman" w:hAnsi="Times New Roman"/>
          <w:color w:val="000000"/>
          <w:sz w:val="22"/>
        </w:rPr>
        <w:t>) in accordance with the Company’s normal payroll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the payment set forth in </w:t>
      </w:r>
      <w:r>
        <w:rPr>
          <w:rFonts w:ascii="Times New Roman" w:hAnsi="Times New Roman"/>
          <w:color w:val="000000"/>
          <w:sz w:val="22"/>
          <w:u w:val="single"/>
        </w:rPr>
        <w:t>Section 4(b)(ii)</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the benefits set forth in </w:t>
      </w:r>
      <w:r>
        <w:rPr>
          <w:rFonts w:ascii="Times New Roman" w:hAnsi="Times New Roman"/>
          <w:color w:val="000000"/>
          <w:sz w:val="22"/>
          <w:u w:val="single"/>
        </w:rPr>
        <w:t>Section 4(b)(iii)</w:t>
      </w:r>
      <w:r>
        <w:rPr>
          <w:rFonts w:ascii="Times New Roman" w:hAnsi="Times New Roman"/>
          <w:color w:val="000000"/>
          <w:sz w:val="22"/>
        </w:rPr>
        <w:t xml:space="preserve">, provided that for this purpose, the “Severance Period” will mean the CIC Severance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amount in cash equal to 1.5 times the Target Annual Bonus, payable in a lump sum on the Company’s first ordinary payroll date that occurs after the Date of Termination;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unvested equity or equity-based awards held by Executive under any Company equity compensation plans that vest solely based on continued employment or service shall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immediately become 100% vested, with any other equity or equity-based awards being governed by the terms of the applicable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Notwithstanding anything to the contrary in this Agreement, the provisions of </w:t>
      </w:r>
      <w:r>
        <w:rPr>
          <w:rFonts w:ascii="Times New Roman" w:hAnsi="Times New Roman"/>
          <w:color w:val="000000"/>
          <w:sz w:val="22"/>
          <w:u w:val="single"/>
        </w:rPr>
        <w:t xml:space="preserve">Sections </w:t>
      </w:r>
      <w:r>
        <w:rPr>
          <w:rFonts w:ascii="Times New Roman" w:hAnsi="Times New Roman"/>
          <w:color w:val="000000"/>
          <w:sz w:val="22"/>
        </w:rPr>
        <w:t xml:space="preserve">5 through </w:t>
      </w:r>
      <w:r>
        <w:rPr>
          <w:rFonts w:ascii="Times New Roman" w:hAnsi="Times New Roman"/>
          <w:color w:val="000000"/>
          <w:sz w:val="22"/>
          <w:u w:val="single"/>
        </w:rPr>
        <w:t>9</w:t>
      </w:r>
      <w:r>
        <w:rPr>
          <w:color w:val="000000"/>
        </w:rPr>
        <w:t xml:space="preserve"> </w:t>
      </w:r>
      <w:r>
        <w:rPr>
          <w:rFonts w:ascii="Times New Roman" w:hAnsi="Times New Roman"/>
          <w:color w:val="000000"/>
          <w:sz w:val="22"/>
        </w:rPr>
        <w:t>will survive the termination of Executive’s employment and the termination of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2"/>
          <w:u w:val="single"/>
        </w:rPr>
        <w:t>Restrictive Covenants</w:t>
      </w:r>
      <w:r>
        <w:rPr>
          <w:rFonts w:ascii="Times New Roman" w:hAnsi="Times New Roman"/>
          <w:b/>
          <w:color w:val="000000"/>
          <w:sz w:val="22"/>
        </w:rPr>
        <w:t xml:space="preserve">. </w:t>
      </w:r>
      <w:r>
        <w:rPr>
          <w:rFonts w:ascii="Times New Roman" w:hAnsi="Times New Roman"/>
          <w:color w:val="000000"/>
          <w:sz w:val="22"/>
        </w:rPr>
        <w:t>Executive acknowledges that Executive is subject to the terms and provisions of an Employee Proprietary Information and Inventions Assignment Agreement, effective as of April 3, 2023 (the “</w:t>
      </w:r>
      <w:r>
        <w:rPr>
          <w:rFonts w:ascii="Times New Roman" w:hAnsi="Times New Roman"/>
          <w:color w:val="000000"/>
          <w:sz w:val="22"/>
          <w:u w:val="single"/>
        </w:rPr>
        <w:t>Restrictive Covenant Agreement</w:t>
      </w:r>
      <w:r>
        <w:rPr>
          <w:color w:val="000000"/>
        </w:rPr>
        <w:t>”</w:t>
      </w:r>
      <w:r>
        <w:rPr>
          <w:rFonts w:ascii="Times New Roman" w:hAnsi="Times New Roman"/>
          <w:color w:val="000000"/>
          <w:sz w:val="22"/>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2"/>
          <w:u w:val="single"/>
        </w:rPr>
        <w:t>Assignment and Successors</w:t>
      </w:r>
      <w:r>
        <w:rPr>
          <w:rFonts w:ascii="Times New Roman" w:hAnsi="Times New Roman"/>
          <w:b/>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2"/>
          <w:u w:val="single"/>
        </w:rPr>
        <w:t>Certain Definitions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Cause</w:t>
      </w:r>
      <w:r>
        <w:rPr>
          <w:rFonts w:ascii="Times New Roman" w:hAnsi="Times New Roman"/>
          <w:color w:val="000000"/>
          <w:sz w:val="22"/>
        </w:rPr>
        <w:t>. The Company shall have “Cause” to terminate Executive’s employment hereunder upon: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material breach of a Policy, this Agreement or any other material agreement between the Executive and the Company (including, without limitation, the Restrictive Covenant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Executive’s conviction, plea of no contest, plea of </w:t>
      </w:r>
      <w:r>
        <w:rPr>
          <w:rFonts w:ascii="Times New Roman" w:hAnsi="Times New Roman"/>
          <w:i/>
          <w:color w:val="000000"/>
          <w:sz w:val="22"/>
        </w:rPr>
        <w:t>nolo contendere</w:t>
      </w:r>
      <w:r>
        <w:rPr>
          <w:rFonts w:ascii="Times New Roman" w:hAnsi="Times New Roman"/>
          <w:color w:val="000000"/>
          <w:sz w:val="22"/>
        </w:rPr>
        <w:t>, or imposition of unadjudicated probation for any felony or crime involving moral turpitude;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unlawful use (including being under the influence) or possession of illegal drugs on the Company’s (or any of its affiliate’s) premises or while performing Executive’s duties and responsibilities under this Agreement;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Executive’s commission of any act of fraud or material dishonesty, embezzlement, misappropriation, willful misconduct, or breach of fiduciary duty against the Company or any of its affiliates; </w:t>
      </w:r>
    </w:p>
    <w:p>
      <w:pPr>
        <w:pStyle w:val="TextBody"/>
        <w:bidi w:val="0"/>
        <w:spacing w:before="0" w:after="240"/>
        <w:jc w:val="both"/>
        <w:rPr>
          <w:rFonts w:ascii="Times New Roman" w:hAnsi="Times New Roman"/>
          <w:sz w:val="20"/>
        </w:rPr>
      </w:pPr>
      <w:r>
        <w:rPr>
          <w:rFonts w:ascii="Times New Roman" w:hAnsi="Times New Roman"/>
          <w:color w:val="000000"/>
          <w:sz w:val="22"/>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“Change in Control” shall have the meaning set forth in the Sight Sciences, Inc. 2021 Incentive Award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Code</w:t>
      </w:r>
      <w:r>
        <w:rPr>
          <w:rFonts w:ascii="Times New Roman" w:hAnsi="Times New Roman"/>
          <w:color w:val="000000"/>
          <w:sz w:val="22"/>
        </w:rPr>
        <w:t>. “Code” shall mean the Internal Revenue Code of 1986, as amended, and the regulations and guidance promulgated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Date of Termination</w:t>
      </w:r>
      <w:r>
        <w:rPr>
          <w:rFonts w:ascii="Times New Roman" w:hAnsi="Times New Roman"/>
          <w:color w:val="000000"/>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color w:val="000000"/>
          <w:sz w:val="22"/>
          <w:u w:val="single"/>
        </w:rPr>
        <w:t>Section 3(a)(ii)</w:t>
      </w:r>
      <w:r>
        <w:rPr>
          <w:color w:val="000000"/>
        </w:rPr>
        <w:t xml:space="preserve"> – </w:t>
      </w:r>
      <w:r>
        <w:rPr>
          <w:rFonts w:ascii="Times New Roman" w:hAnsi="Times New Roman"/>
          <w:color w:val="000000"/>
          <w:sz w:val="22"/>
          <w:u w:val="single"/>
        </w:rPr>
        <w:t>(vi)</w:t>
      </w:r>
      <w:r>
        <w:rPr>
          <w:color w:val="000000"/>
        </w:rPr>
        <w:t xml:space="preserve"> </w:t>
      </w:r>
      <w:r>
        <w:rPr>
          <w:rFonts w:ascii="Times New Roman" w:hAnsi="Times New Roman"/>
          <w:color w:val="000000"/>
          <w:sz w:val="22"/>
        </w:rPr>
        <w:t xml:space="preserve">either the date indicated in the Notice of Termination or the date specified by the Company pursuant to </w:t>
      </w:r>
      <w:r>
        <w:rPr>
          <w:rFonts w:ascii="Times New Roman" w:hAnsi="Times New Roman"/>
          <w:color w:val="000000"/>
          <w:sz w:val="22"/>
          <w:u w:val="single"/>
        </w:rPr>
        <w:t>Section 3(b)</w:t>
      </w:r>
      <w:r>
        <w:rPr>
          <w:rFonts w:ascii="Times New Roman" w:hAnsi="Times New Roman"/>
          <w:color w:val="000000"/>
          <w:sz w:val="22"/>
        </w:rPr>
        <w:t>, whichever is earlier.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Disability</w:t>
      </w:r>
      <w:r>
        <w:rPr>
          <w:rFonts w:ascii="Times New Roman" w:hAnsi="Times New Roman"/>
          <w:color w:val="000000"/>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hAnsi="Times New Roman"/>
          <w:i/>
          <w:color w:val="000000"/>
          <w:sz w:val="22"/>
        </w:rPr>
        <w:t>provided, however</w:t>
      </w:r>
      <w:r>
        <w:rPr>
          <w:rFonts w:ascii="Times New Roman" w:hAnsi="Times New Roman"/>
          <w:color w:val="000000"/>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Good Reason</w:t>
      </w:r>
      <w:r>
        <w:rPr>
          <w:rFonts w:ascii="Times New Roman" w:hAnsi="Times New Roman"/>
          <w:color w:val="000000"/>
          <w:sz w:val="22"/>
        </w:rPr>
        <w:t xml:space="preserve">.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does not hold such position with respect to the successor or surviving entity (or its ultimate parent), (iii) 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Executive. Notwithstanding the 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2"/>
          <w:u w:val="single"/>
        </w:rPr>
        <w:t>Parachute Payments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being hereinafter referred to as the “</w:t>
      </w:r>
      <w:r>
        <w:rPr>
          <w:rFonts w:ascii="Times New Roman" w:hAnsi="Times New Roman"/>
          <w:color w:val="000000"/>
          <w:sz w:val="22"/>
          <w:u w:val="single"/>
        </w:rPr>
        <w:t>Total Payments</w:t>
      </w:r>
      <w:r>
        <w:rPr>
          <w:color w:val="000000"/>
        </w:rPr>
        <w:t>”</w:t>
      </w:r>
      <w:r>
        <w:rPr>
          <w:rFonts w:ascii="Times New Roman" w:hAnsi="Times New Roman"/>
          <w:color w:val="000000"/>
          <w:sz w:val="22"/>
        </w:rPr>
        <w:t>), would be subject (in whole or in part) to the excise tax imposed by Section 4999 of the Code (the “</w:t>
      </w:r>
      <w:r>
        <w:rPr>
          <w:rFonts w:ascii="Times New Roman" w:hAnsi="Times New Roman"/>
          <w:color w:val="000000"/>
          <w:sz w:val="22"/>
          <w:u w:val="single"/>
        </w:rPr>
        <w:t>Excise Tax</w:t>
      </w:r>
      <w:r>
        <w:rPr>
          <w:color w:val="000000"/>
        </w:rPr>
        <w:t>”</w:t>
      </w:r>
      <w:r>
        <w:rPr>
          <w:rFonts w:ascii="Times New Roman" w:hAnsi="Times New Roman"/>
          <w:color w:val="000000"/>
          <w:sz w:val="22"/>
        </w:rPr>
        <w:t xml:space="preserve">), then the Total Payments shall be reduced (in the order provided in </w:t>
      </w:r>
      <w:r>
        <w:rPr>
          <w:rFonts w:ascii="Times New Roman" w:hAnsi="Times New Roman"/>
          <w:color w:val="000000"/>
          <w:sz w:val="22"/>
          <w:u w:val="single"/>
        </w:rPr>
        <w:t>Section 8(b)</w:t>
      </w:r>
      <w:r>
        <w:rPr>
          <w:rFonts w:ascii="Times New Roman" w:hAnsi="Times New Roman"/>
          <w:color w:val="000000"/>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Total Payments shall be reduced in the following order: (i) reduction on a pro rata basis of any cash severance payments that are exempt from Section 409A of the Code (“</w:t>
      </w:r>
      <w:r>
        <w:rPr>
          <w:rFonts w:ascii="Times New Roman" w:hAnsi="Times New Roman"/>
          <w:color w:val="000000"/>
          <w:sz w:val="22"/>
          <w:u w:val="single"/>
        </w:rPr>
        <w:t>Section 409A</w:t>
      </w:r>
      <w:r>
        <w:rPr>
          <w:color w:val="000000"/>
        </w:rPr>
        <w:t>”</w:t>
      </w:r>
      <w:r>
        <w:rPr>
          <w:rFonts w:ascii="Times New Roman" w:hAnsi="Times New Roman"/>
          <w:color w:val="000000"/>
          <w:sz w:val="22"/>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All determinations regarding the application of this </w:t>
      </w:r>
      <w:r>
        <w:rPr>
          <w:rFonts w:ascii="Times New Roman" w:hAnsi="Times New Roman"/>
          <w:color w:val="000000"/>
          <w:sz w:val="22"/>
          <w:u w:val="single"/>
        </w:rPr>
        <w:t>Section 8</w:t>
      </w:r>
      <w:r>
        <w:rPr>
          <w:color w:val="000000"/>
        </w:rPr>
        <w:t xml:space="preserve"> </w:t>
      </w:r>
      <w:r>
        <w:rPr>
          <w:rFonts w:ascii="Times New Roman" w:hAnsi="Times New Roman"/>
          <w:color w:val="000000"/>
          <w:sz w:val="22"/>
        </w:rPr>
        <w:t>shall be made by an accounting firm or consulting group with experience in performing calculations regarding the applicability of Section 280G of the Code and the Excise Tax selected by the Company (the “</w:t>
      </w:r>
      <w:r>
        <w:rPr>
          <w:rFonts w:ascii="Times New Roman" w:hAnsi="Times New Roman"/>
          <w:color w:val="000000"/>
          <w:sz w:val="22"/>
          <w:u w:val="single"/>
        </w:rPr>
        <w:t>Independent Advisors</w:t>
      </w:r>
      <w:r>
        <w:rPr>
          <w:color w:val="000000"/>
        </w:rPr>
        <w:t>”</w:t>
      </w:r>
      <w:r>
        <w:rPr>
          <w:rFonts w:ascii="Times New Roman" w:hAnsi="Times New Roman"/>
          <w:color w:val="000000"/>
          <w:sz w:val="22"/>
        </w:rPr>
        <w:t xml:space="preserve">).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In the event it is later determined that a greater reduction in the Total Payments should have been made to implement the objective and intent of this </w:t>
      </w:r>
      <w:r>
        <w:rPr>
          <w:rFonts w:ascii="Times New Roman" w:hAnsi="Times New Roman"/>
          <w:color w:val="000000"/>
          <w:sz w:val="22"/>
          <w:u w:val="single"/>
        </w:rPr>
        <w:t>Section 8</w:t>
      </w:r>
      <w:r>
        <w:rPr>
          <w:rFonts w:ascii="Times New Roman" w:hAnsi="Times New Roman"/>
          <w:color w:val="000000"/>
          <w:sz w:val="22"/>
        </w:rPr>
        <w:t xml:space="preserve">, the excess amount shall be returned promptly by Executive to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2"/>
          <w:u w:val="single"/>
        </w:rPr>
        <w:t>Miscellaneous Provisions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This Agreement shall be governed, construed, interpreted and enforced in accordance with its express terms, and otherwise in accordance with the substantive laws of the State of California without reference to the principles of conflicts of law of the State of California or any other jurisdiction that would result in the application of the laws of a jurisdiction other than the State of California, and where applicable, the laws of the United States.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Validity</w:t>
      </w:r>
      <w:r>
        <w:rPr>
          <w:rFonts w:ascii="Times New Roman" w:hAnsi="Times New Roman"/>
          <w:color w:val="000000"/>
          <w:sz w:val="22"/>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to the Chief Executive Officer of the Company at the Company’s headquarters,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Executive, to the last address that the Company has in its personnel records for Executive,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any other address as any Party shall have specified by notice in writing to the other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The terms of this Agreement, and the Restrictive Covenant Agreement incorporated herein by reference as set forth in </w:t>
      </w:r>
      <w:r>
        <w:rPr>
          <w:rFonts w:ascii="Times New Roman" w:hAnsi="Times New Roman"/>
          <w:color w:val="000000"/>
          <w:sz w:val="22"/>
          <w:u w:val="single"/>
        </w:rPr>
        <w:t>Section 5</w:t>
      </w:r>
      <w:r>
        <w:rPr>
          <w:rFonts w:ascii="Times New Roman" w:hAnsi="Times New Roman"/>
          <w:color w:val="000000"/>
          <w:sz w:val="22"/>
        </w:rPr>
        <w:t xml:space="preserv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Amendments; Waivers</w:t>
      </w:r>
      <w:r>
        <w:rPr>
          <w:rFonts w:ascii="Times New Roman" w:hAnsi="Times New Roman"/>
          <w:color w:val="000000"/>
          <w:sz w:val="22"/>
        </w:rPr>
        <w:t xml:space="preserve">. This Agreement may not be modified, amended, or terminated except by an instrument in writing, signed by Executive and a duly authorized officer of Company. By an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 xml:space="preserve">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Construction</w:t>
      </w:r>
      <w:r>
        <w:rPr>
          <w:rFonts w:ascii="Times New Roman" w:hAnsi="Times New Roman"/>
          <w:color w:val="000000"/>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Arbitration</w:t>
      </w:r>
      <w:r>
        <w:rPr>
          <w:rFonts w:ascii="Times New Roman" w:hAnsi="Times New Roman"/>
          <w:color w:val="000000"/>
          <w:sz w:val="22"/>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color w:val="000000"/>
          <w:sz w:val="22"/>
          <w:u w:val="single"/>
        </w:rPr>
        <w:t>AAA</w:t>
      </w:r>
      <w:r>
        <w:rPr>
          <w:color w:val="000000"/>
        </w:rPr>
        <w:t>”</w:t>
      </w:r>
      <w:r>
        <w:rPr>
          <w:rFonts w:ascii="Times New Roman" w:hAnsi="Times New Roman"/>
          <w:color w:val="00000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Enforcement</w:t>
      </w:r>
      <w:r>
        <w:rPr>
          <w:rFonts w:ascii="Times New Roman" w:hAnsi="Times New Roman"/>
          <w:color w:val="000000"/>
          <w:sz w:val="22"/>
        </w:rPr>
        <w:t xml:space="preserve">. If any provision of this Agreement is held to be illegal, invalid or unenforceable under present or future laws effective during the Term, such provision shall be fully severable; this Agreement shall be construed and enforced as if such illegal, invalid or unenforceable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General.</w:t>
      </w:r>
      <w:r>
        <w:rPr>
          <w:color w:val="000000"/>
        </w:rPr>
        <w:t xml:space="preserve"> </w:t>
      </w:r>
      <w:r>
        <w:rPr>
          <w:rFonts w:ascii="Times New Roman" w:hAnsi="Times New Roman"/>
          <w:color w:val="000000"/>
          <w:sz w:val="22"/>
        </w:rPr>
        <w:t xml:space="preserve">The intent of the Parties is that the payments and benefits under this Agreement comply with or be exempt from Section 409A and, accordingly, to the maximum extent permitted, this Agreement shall be interpreted to be in compliance therewith.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 xml:space="preserve">Separation from Service. </w:t>
      </w:r>
      <w:r>
        <w:rPr>
          <w:rFonts w:ascii="Times New Roman" w:hAnsi="Times New Roman"/>
          <w:color w:val="000000"/>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color w:val="000000"/>
          <w:sz w:val="22"/>
          <w:u w:val="single"/>
        </w:rPr>
        <w:t>Separation from Service</w:t>
      </w:r>
      <w:r>
        <w:rPr>
          <w:color w:val="000000"/>
        </w:rPr>
        <w:t>”</w:t>
      </w:r>
      <w:r>
        <w:rPr>
          <w:rFonts w:ascii="Times New Roman" w:hAnsi="Times New Roman"/>
          <w:color w:val="000000"/>
          <w:sz w:val="22"/>
        </w:rPr>
        <w:t xml:space="preserve">) and, except as provided below, any such compensation or benefits described in </w:t>
      </w:r>
      <w:r>
        <w:rPr>
          <w:rFonts w:ascii="Times New Roman" w:hAnsi="Times New Roman"/>
          <w:color w:val="000000"/>
          <w:sz w:val="22"/>
          <w:u w:val="single"/>
        </w:rPr>
        <w:t xml:space="preserve">Section </w:t>
      </w:r>
      <w:r>
        <w:rPr>
          <w:rFonts w:ascii="Times New Roman" w:hAnsi="Times New Roman"/>
          <w:color w:val="000000"/>
          <w:sz w:val="22"/>
        </w:rPr>
        <w:t>shall not be paid, or, in the case of installments, shall not commence payment, until the thirtieth (30th) day following Executive’s Separation from Service (the “</w:t>
      </w:r>
      <w:r>
        <w:rPr>
          <w:rFonts w:ascii="Times New Roman" w:hAnsi="Times New Roman"/>
          <w:color w:val="000000"/>
          <w:sz w:val="22"/>
          <w:u w:val="single"/>
        </w:rPr>
        <w:t>First Payment Date</w:t>
      </w:r>
      <w:r>
        <w:rPr>
          <w:color w:val="000000"/>
        </w:rPr>
        <w:t>”</w:t>
      </w:r>
      <w:r>
        <w:rPr>
          <w:rFonts w:ascii="Times New Roman" w:hAnsi="Times New Roman"/>
          <w:color w:val="00000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Specified Employee.</w:t>
      </w:r>
      <w:r>
        <w:rPr>
          <w:color w:val="000000"/>
        </w:rPr>
        <w:t xml:space="preserve"> </w:t>
      </w:r>
      <w:r>
        <w:rPr>
          <w:rFonts w:ascii="Times New Roman" w:hAnsi="Times New Roman"/>
          <w:color w:val="000000"/>
          <w:sz w:val="22"/>
        </w:rPr>
        <w:t xml:space="preserve">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 xml:space="preserve">Expense Reimbursements. </w:t>
      </w:r>
      <w:r>
        <w:rPr>
          <w:rFonts w:ascii="Times New Roman" w:hAnsi="Times New Roman"/>
          <w:color w:val="000000"/>
          <w:sz w:val="22"/>
        </w:rPr>
        <w:t xml:space="preserve">To the extent that any reimbursements under this Agreement are subject to Section 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in Section 105(b) of the Code, and (D) Executive’s right to reimbursement under this Agreement will not be subject to liquidation or exchange for another benefit.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Installments.</w:t>
      </w:r>
      <w:r>
        <w:rPr>
          <w:color w:val="000000"/>
        </w:rPr>
        <w:t xml:space="preserve"> </w:t>
      </w:r>
      <w:r>
        <w:rPr>
          <w:rFonts w:ascii="Times New Roman" w:hAnsi="Times New Roman"/>
          <w:color w:val="000000"/>
          <w:sz w:val="22"/>
        </w:rPr>
        <w:t>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2"/>
          <w:u w:val="single"/>
        </w:rPr>
        <w:t>Executive Acknowledgement</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 WITNESS WHEREOF, the Parties have executed this Agreement on the date and year first above written.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SIGHT SCIENCES, INC.</w:t>
      </w:r>
    </w:p>
    <w:p>
      <w:pPr>
        <w:pStyle w:val="TextBody"/>
        <w:bidi w:val="0"/>
        <w:jc w:val="left"/>
        <w:rPr>
          <w:rFonts w:ascii="Times New Roman" w:hAnsi="Times New Roman"/>
          <w:color w:val="000000"/>
          <w:sz w:val="22"/>
        </w:rPr>
      </w:pPr>
      <w:r>
        <w:rPr>
          <w:rFonts w:ascii="Times New Roman" w:hAnsi="Times New Roman"/>
          <w:color w:val="000000"/>
          <w:sz w:val="22"/>
        </w:rPr>
        <w:t>By:__/s/Paul Badawi____________________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Paul Badawi</w:t>
      </w:r>
    </w:p>
    <w:p>
      <w:pPr>
        <w:pStyle w:val="TextBody"/>
        <w:bidi w:val="0"/>
        <w:jc w:val="left"/>
        <w:rPr>
          <w:rFonts w:ascii="Times New Roman" w:hAnsi="Times New Roman"/>
          <w:sz w:val="20"/>
        </w:rPr>
      </w:pPr>
      <w:r>
        <w:rPr>
          <w:rFonts w:ascii="Times New Roman" w:hAnsi="Times New Roman"/>
          <w:color w:val="000000"/>
          <w:sz w:val="22"/>
        </w:rPr>
        <w:t>Title: President and Chief Executive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EXECUTIVE</w:t>
      </w:r>
    </w:p>
    <w:p>
      <w:pPr>
        <w:pStyle w:val="TextBody"/>
        <w:bidi w:val="0"/>
        <w:jc w:val="left"/>
        <w:rPr>
          <w:rFonts w:ascii="Times New Roman" w:hAnsi="Times New Roman"/>
          <w:color w:val="000000"/>
          <w:sz w:val="22"/>
        </w:rPr>
      </w:pPr>
      <w:r>
        <w:rPr>
          <w:rFonts w:ascii="Times New Roman" w:hAnsi="Times New Roman"/>
          <w:color w:val="000000"/>
          <w:sz w:val="22"/>
        </w:rPr>
        <w:t>_/s/Alison Bauerlein____________________</w:t>
      </w:r>
    </w:p>
    <w:p>
      <w:pPr>
        <w:pStyle w:val="TextBody"/>
        <w:bidi w:val="0"/>
        <w:jc w:val="left"/>
        <w:rPr>
          <w:rFonts w:ascii="Times New Roman" w:hAnsi="Times New Roman"/>
          <w:color w:val="000000"/>
          <w:sz w:val="22"/>
        </w:rPr>
      </w:pPr>
      <w:r>
        <w:rPr>
          <w:rFonts w:ascii="Times New Roman" w:hAnsi="Times New Roman"/>
          <w:color w:val="000000"/>
          <w:sz w:val="22"/>
        </w:rPr>
        <w:t>Alison Bauerlein</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 and Release</w:t>
      </w:r>
    </w:p>
    <w:p>
      <w:pPr>
        <w:pStyle w:val="TextBody"/>
        <w:bidi w:val="0"/>
        <w:spacing w:before="0" w:after="120"/>
        <w:jc w:val="both"/>
        <w:rPr>
          <w:rFonts w:ascii="Times New Roman" w:hAnsi="Times New Roman"/>
          <w:sz w:val="20"/>
        </w:rPr>
      </w:pPr>
      <w:r>
        <w:rPr>
          <w:rFonts w:ascii="Times New Roman" w:hAnsi="Times New Roman"/>
          <w:color w:val="000000"/>
          <w:sz w:val="22"/>
        </w:rPr>
        <w:t>This Separation Agreement and Release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by and between Alison Bauerlein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and Sight Sciences,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(collectively referred to as the “Parties” or individually referred to as a “Party”). Capitalized terms used but not defined in this Agreement shall have the meanings set forth in the Employment Agreement (as defined below).</w:t>
      </w:r>
    </w:p>
    <w:p>
      <w:pPr>
        <w:pStyle w:val="TextBody"/>
        <w:bidi w:val="0"/>
        <w:spacing w:before="0" w:after="120"/>
        <w:jc w:val="both"/>
        <w:rPr>
          <w:rFonts w:ascii="Times New Roman" w:hAnsi="Times New Roman"/>
          <w:sz w:val="20"/>
        </w:rPr>
      </w:pPr>
      <w:r>
        <w:rPr>
          <w:rFonts w:ascii="Times New Roman" w:hAnsi="Times New Roman"/>
          <w:color w:val="000000"/>
          <w:sz w:val="22"/>
        </w:rPr>
        <w:t>WHEREAS, the Parties have previously entered into that certain Amended and Restated Employment Agreement, dated as of November 5, 2025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 that certain Employee Proprietary Information and Inventions Assignment Agreement, dated as of April 3, 2023 (the “</w:t>
      </w:r>
      <w:r>
        <w:rPr>
          <w:rFonts w:ascii="Times New Roman" w:hAnsi="Times New Roman"/>
          <w:color w:val="000000"/>
          <w:sz w:val="22"/>
          <w:u w:val="single"/>
        </w:rPr>
        <w:t>Restrictive Covenant Agreement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color w:val="000000"/>
          <w:sz w:val="22"/>
          <w:u w:val="single"/>
        </w:rPr>
        <w:t>Retained Claims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Severance Payments and Benefits; Salary and Benefits</w:t>
      </w:r>
      <w:r>
        <w:rPr>
          <w:rFonts w:ascii="Times New Roman" w:hAnsi="Times New Roman"/>
          <w:color w:val="000000"/>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color w:val="000000"/>
          <w:sz w:val="22"/>
          <w:u w:val="single"/>
        </w:rPr>
        <w:t>3(c)</w:t>
      </w:r>
      <w:r>
        <w:rPr>
          <w:rFonts w:ascii="Times New Roman" w:hAnsi="Times New Roman"/>
          <w:color w:val="000000"/>
          <w:sz w:val="20"/>
        </w:rPr>
        <w:t xml:space="preserve"> </w:t>
      </w:r>
      <w:r>
        <w:rPr>
          <w:rFonts w:ascii="Times New Roman" w:hAnsi="Times New Roman"/>
          <w:color w:val="000000"/>
          <w:sz w:val="22"/>
        </w:rPr>
        <w:t>of the Employment Agreement, subject to and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Release of Claims</w:t>
      </w:r>
      <w:r>
        <w:rPr>
          <w:rFonts w:ascii="Times New Roman" w:hAnsi="Times New Roman"/>
          <w:color w:val="000000"/>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color w:val="000000"/>
          <w:sz w:val="22"/>
          <w:u w:val="single"/>
        </w:rPr>
        <w:t>Releasees</w:t>
      </w:r>
      <w:r>
        <w:rPr>
          <w:rFonts w:ascii="Times New Roman" w:hAnsi="Times New Roman"/>
          <w:color w:val="000000"/>
          <w:sz w:val="20"/>
        </w:rPr>
        <w:t>”</w:t>
      </w:r>
      <w:r>
        <w:rPr>
          <w:rFonts w:ascii="Times New Roman" w:hAnsi="Times New Roman"/>
          <w:color w:val="000000"/>
          <w:sz w:val="22"/>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and all claims relating to or arising from Executive’s employment or service relationship with the Company or any of its direct or indirect subsidiaries or affiliates and the termination of that relationship;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and the California Labor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and all claims for violation of the federal or any state constitution;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any and all claims arising out of any other laws and regulations relating to employment or employment discrimination;</w:t>
      </w:r>
    </w:p>
    <w:p>
      <w:pPr>
        <w:pStyle w:val="TextBody"/>
        <w:bidi w:val="0"/>
        <w:spacing w:before="0" w:after="240"/>
        <w:jc w:val="both"/>
        <w:rPr>
          <w:rFonts w:ascii="Times New Roman" w:hAnsi="Times New Roman"/>
          <w:sz w:val="20"/>
        </w:rPr>
      </w:pPr>
      <w:r>
        <w:rPr>
          <w:rFonts w:ascii="Times New Roman" w:hAnsi="Times New Roman"/>
          <w:color w:val="000000"/>
          <w:sz w:val="22"/>
        </w:rPr>
        <w:t>(g) any claim for any loss, cost, damage, or expense arising out of any dispute over the non-withholding or other tax treatment of any of the proceeds received by Executive as a result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any and all claims arising out of the wage and hour and wage payments laws and regulations of the state or states in which Executive has provided service to the Company or any of its affiliates;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and all claims for attorneys’ fees and costs.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A-3</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acknowledges that Executive has been advised of and is familiar with the provisions of California Civil Code Section 1542, which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2"/>
        </w:rPr>
        <w:t>Being aware of said code section, Executive expressly waives all rights Executive may have thereunder, as well as under any other law, including under common law principles of similar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Acknowledgment of Waiver of Claims under ADEA</w:t>
      </w:r>
      <w:r>
        <w:rPr>
          <w:rFonts w:ascii="Times New Roman" w:hAnsi="Times New Roman"/>
          <w:color w:val="000000"/>
          <w:sz w:val="22"/>
        </w:rPr>
        <w:t>. Executive understands and acknowledges that Executive is waiving and releasing any rights Executive may have under the Age Discrimination in Employment Act of 1967 (“</w:t>
      </w:r>
      <w:r>
        <w:rPr>
          <w:rFonts w:ascii="Times New Roman" w:hAnsi="Times New Roman"/>
          <w:color w:val="000000"/>
          <w:sz w:val="22"/>
          <w:u w:val="single"/>
        </w:rPr>
        <w:t>ADEA</w:t>
      </w:r>
      <w:r>
        <w:rPr>
          <w:rFonts w:ascii="Times New Roman" w:hAnsi="Times New Roman"/>
          <w:color w:val="000000"/>
          <w:sz w:val="20"/>
        </w:rPr>
        <w:t>”</w:t>
      </w:r>
      <w:r>
        <w:rPr>
          <w:rFonts w:ascii="Times New Roman" w:hAnsi="Times New Roman"/>
          <w:color w:val="000000"/>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Chief Financial Officer of the Company (or if Executive is the Chief Financial Officer, then the Chief Executive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A-4</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Restrictive Covenants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Executive and a duly authorized officer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Governing Law; Dispute Resolution</w:t>
      </w:r>
      <w:r>
        <w:rPr>
          <w:rFonts w:ascii="Times New Roman" w:hAnsi="Times New Roman"/>
          <w:color w:val="000000"/>
          <w:sz w:val="22"/>
        </w:rPr>
        <w:t>. This Agreement shall be subject to the provisions of Sections 9(a), 9(c), and 9(h) of the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Effective Date</w:t>
      </w:r>
      <w:r>
        <w:rPr>
          <w:rFonts w:ascii="Times New Roman" w:hAnsi="Times New Roman"/>
          <w:color w:val="000000"/>
          <w:sz w:val="22"/>
        </w:rPr>
        <w:t>. Executive has seven days after Executive signs this Agreement to revoke it and this Agreement will become effective on the eighth day following the date Executive signed this Agreement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Voluntary Execution of Agreement</w:t>
      </w:r>
      <w:r>
        <w:rPr>
          <w:rFonts w:ascii="Times New Roman" w:hAnsi="Times New Roman"/>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A-5</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A-6</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 WITNESS WHEREOF, the Parties have executed this Agreement on the respective dates set forth below.</w:t>
      </w:r>
      <w:r>
        <w:rPr>
          <w:rFonts w:ascii="Times New Roman" w:hAnsi="Times New Roman"/>
          <w:color w:val="000000"/>
          <w:sz w:val="20"/>
        </w:rPr>
        <w:t xml:space="preserve"> </w:t>
      </w:r>
    </w:p>
    <w:tbl>
      <w:tblPr>
        <w:tblW w:w="3734" w:type="dxa"/>
        <w:jc w:val="left"/>
        <w:tblInd w:w="0" w:type="dxa"/>
        <w:tblLayout w:type="fixed"/>
        <w:tblCellMar>
          <w:top w:w="28" w:type="dxa"/>
          <w:left w:w="28" w:type="dxa"/>
          <w:bottom w:w="28" w:type="dxa"/>
          <w:right w:w="28" w:type="dxa"/>
        </w:tblCellMar>
      </w:tblPr>
      <w:tblGrid>
        <w:gridCol w:w="1078"/>
        <w:gridCol w:w="2656"/>
      </w:tblGrid>
      <w:tr>
        <w:trPr/>
        <w:tc>
          <w:tcPr>
            <w:tcW w:w="1078"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EXECUTIVE</w:t>
            </w:r>
          </w:p>
        </w:tc>
      </w:tr>
      <w:tr>
        <w:trPr/>
        <w:tc>
          <w:tcPr>
            <w:tcW w:w="10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Dated: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br/>
              <w:t>Alison Bauerlein</w:t>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SIGHT SCIENCES, INC.</w:t>
            </w:r>
          </w:p>
        </w:tc>
      </w:tr>
      <w:tr>
        <w:trPr/>
        <w:tc>
          <w:tcPr>
            <w:tcW w:w="1078" w:type="dxa"/>
            <w:tcBorders/>
            <w:tcMar>
              <w:top w:w="0" w:type="dxa"/>
              <w:left w:w="0" w:type="dxa"/>
              <w:bottom w:w="0" w:type="dxa"/>
              <w:right w:w="0" w:type="dxa"/>
            </w:tcMar>
            <w:vAlign w:val="center"/>
          </w:tcPr>
          <w:p>
            <w:pPr>
              <w:pStyle w:val="TableContents"/>
              <w:bidi w:val="0"/>
              <w:spacing w:before="0" w:after="240"/>
              <w:ind w:left="0" w:right="0" w:firstLine="342"/>
              <w:jc w:val="left"/>
              <w:rPr>
                <w:rFonts w:ascii="Times New Roman" w:hAnsi="Times New Roman"/>
                <w:color w:val="000000"/>
                <w:sz w:val="22"/>
              </w:rPr>
            </w:pPr>
            <w:r>
              <w:rPr>
                <w:rFonts w:ascii="Times New Roman" w:hAnsi="Times New Roman"/>
                <w:color w:val="000000"/>
                <w:sz w:val="22"/>
              </w:rPr>
              <w:t>Dated:</w:t>
            </w:r>
          </w:p>
        </w:tc>
        <w:tc>
          <w:tcPr>
            <w:tcW w:w="2656" w:type="dxa"/>
            <w:tcBorders/>
            <w:tcMar>
              <w:top w:w="0" w:type="dxa"/>
              <w:left w:w="0" w:type="dxa"/>
              <w:bottom w:w="0" w:type="dxa"/>
              <w:right w:w="0" w:type="dxa"/>
            </w:tcMar>
            <w:vAlign w:val="center"/>
          </w:tcPr>
          <w:p>
            <w:pPr>
              <w:pStyle w:val="TableContents"/>
              <w:bidi w:val="0"/>
              <w:spacing w:before="0" w:after="240"/>
              <w:ind w:left="0" w:right="0" w:firstLine="342"/>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br/>
            </w:r>
            <w:r>
              <w:rPr>
                <w:rFonts w:ascii="Times New Roman" w:hAnsi="Times New Roman"/>
                <w:color w:val="000000"/>
                <w:sz w:val="22"/>
              </w:rPr>
              <w:t>Name:</w:t>
              <w:br/>
              <w:t>Title:</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A-7</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u w:val="single"/>
        </w:rPr>
      </w:pPr>
      <w:bookmarkStart w:id="36" w:name="sght-ex10_12.htm"/>
      <w:bookmarkStart w:id="37" w:name="kssghtex10_12"/>
      <w:bookmarkEnd w:id="36"/>
      <w:bookmarkEnd w:id="37"/>
      <w:r>
        <w:rPr>
          <w:rFonts w:ascii="Times New Roman" w:hAnsi="Times New Roman"/>
          <w:b/>
          <w:color w:val="000000"/>
          <w:sz w:val="20"/>
          <w:u w:val="single"/>
        </w:rPr>
        <w:t>Exhibit 10.12</w:t>
      </w:r>
      <w:r>
        <w:br w:type="page"/>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Employment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effective as of November 5, 2025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is made by and between Sight Sciences, Inc., a Delaware corporation (together with any successor thereto,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James Rodberg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(collectively referred to herein as the “</w:t>
      </w:r>
      <w:r>
        <w:rPr>
          <w:rFonts w:ascii="Times New Roman" w:hAnsi="Times New Roman"/>
          <w:color w:val="000000"/>
          <w:sz w:val="22"/>
          <w:u w:val="single"/>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color w:val="000000"/>
          <w:sz w:val="22"/>
          <w:u w:val="single"/>
        </w:rPr>
        <w:t>Party</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It is the desire of the Company to assure itself of the services of Executive as of the Effective Date and thereafter by entering into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B. Executive and the Company mutually desire that Executive provide services to the Company on the terms herein provided.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and of the respective covenants and agreements set forth below, the Parties hereto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2"/>
          <w:u w:val="single"/>
        </w:rPr>
        <w:t>Employment</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Effective on the Effective Date, the Company shall commence employment of Executive for the period and in the positions set forth in this </w:t>
      </w:r>
      <w:r>
        <w:rPr>
          <w:rFonts w:ascii="Times New Roman" w:hAnsi="Times New Roman"/>
          <w:color w:val="000000"/>
          <w:sz w:val="22"/>
          <w:u w:val="single"/>
        </w:rPr>
        <w:t>Section 1</w:t>
      </w:r>
      <w:r>
        <w:rPr>
          <w:rFonts w:ascii="Times New Roman" w:hAnsi="Times New Roman"/>
          <w:color w:val="000000"/>
          <w:sz w:val="22"/>
        </w:rPr>
        <w:t>, and subject to the other terms and conditions herein provided.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At-Will Employment</w:t>
      </w:r>
      <w:r>
        <w:rPr>
          <w:rFonts w:ascii="Times New Roman" w:hAnsi="Times New Roman"/>
          <w:color w:val="000000"/>
          <w:sz w:val="22"/>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Times New Roman" w:hAnsi="Times New Roman"/>
          <w:color w:val="000000"/>
          <w:sz w:val="22"/>
          <w:u w:val="single"/>
        </w:rPr>
        <w:t>Section 3(b)</w:t>
      </w:r>
      <w:r>
        <w:rPr>
          <w:rFonts w:ascii="Times New Roman" w:hAnsi="Times New Roman"/>
          <w:color w:val="000000"/>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hAnsi="Times New Roman"/>
          <w:color w:val="000000"/>
          <w:sz w:val="22"/>
          <w:u w:val="single"/>
        </w:rPr>
        <w:t>Term</w:t>
      </w:r>
      <w:r>
        <w:rPr>
          <w:color w:val="000000"/>
        </w:rPr>
        <w:t>”</w:t>
      </w:r>
      <w:r>
        <w:rPr>
          <w:rFonts w:ascii="Times New Roman" w:hAnsi="Times New Roman"/>
          <w:color w:val="000000"/>
          <w:sz w:val="22"/>
        </w:rPr>
        <w:t xml:space="preserve">) shall commence on the Effective Date and end on the date this Agreement is terminated under </w:t>
      </w:r>
      <w:r>
        <w:rPr>
          <w:rFonts w:ascii="Times New Roman" w:hAnsi="Times New Roman"/>
          <w:color w:val="000000"/>
          <w:sz w:val="22"/>
          <w:u w:val="single"/>
        </w:rPr>
        <w:t>Section 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Positions and Duties</w:t>
      </w:r>
      <w:r>
        <w:rPr>
          <w:rFonts w:ascii="Times New Roman" w:hAnsi="Times New Roman"/>
          <w:color w:val="000000"/>
          <w:sz w:val="22"/>
        </w:rPr>
        <w:t>. During the Term, Executive shall serve as Chief Financial Officer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Board (in either case, the “</w:t>
      </w:r>
      <w:r>
        <w:rPr>
          <w:rFonts w:ascii="Times New Roman" w:hAnsi="Times New Roman"/>
          <w:color w:val="000000"/>
          <w:sz w:val="22"/>
          <w:u w:val="single"/>
        </w:rPr>
        <w:t>Board</w:t>
      </w:r>
      <w:r>
        <w:rPr>
          <w:color w:val="000000"/>
        </w:rPr>
        <w:t>”</w:t>
      </w:r>
      <w:r>
        <w:rPr>
          <w:rFonts w:ascii="Times New Roman" w:hAnsi="Times New Roman"/>
          <w:color w:val="000000"/>
          <w:sz w:val="22"/>
        </w:rPr>
        <w:t xml:space="preserve">), provided that Executive shall be permitted to (i) manage Executive’s personal, financial and legal affairs, (ii) participate in trade associations, (iii) continue to serve on those private and public company boards of directors on which Executive is serving as of the Effective Date, and (iv) serve on the board of directors of not-for-profit or tax-exempt charitable organizations, in each case, subject to compliance with this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hAnsi="Times New Roman"/>
          <w:color w:val="000000"/>
          <w:sz w:val="22"/>
          <w:u w:val="single"/>
        </w:rPr>
        <w:t>Policy</w:t>
      </w:r>
      <w:r>
        <w:rPr>
          <w:color w:val="000000"/>
        </w:rPr>
        <w:t>”</w:t>
      </w:r>
      <w:r>
        <w:rPr>
          <w:rFonts w:ascii="Times New Roman" w:hAnsi="Times New Roman"/>
          <w:color w:val="000000"/>
          <w:sz w:val="22"/>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2"/>
          <w:u w:val="single"/>
        </w:rPr>
        <w:t>Compensation and Related Matters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38" w:name="ole_link3"/>
      <w:bookmarkEnd w:id="38"/>
      <w:r>
        <w:rPr>
          <w:rFonts w:ascii="Times New Roman" w:hAnsi="Times New Roman"/>
          <w:color w:val="000000"/>
          <w:sz w:val="22"/>
          <w:u w:val="single"/>
        </w:rPr>
        <w:t>Annual Base Salary</w:t>
      </w:r>
      <w:r>
        <w:rPr>
          <w:rFonts w:ascii="Times New Roman" w:hAnsi="Times New Roman"/>
          <w:color w:val="000000"/>
          <w:sz w:val="22"/>
        </w:rPr>
        <w:t>. During the Term, Executive shall receive a base salary at a rate of $400,000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Times New Roman" w:hAnsi="Times New Roman"/>
          <w:color w:val="000000"/>
          <w:sz w:val="22"/>
          <w:u w:val="single"/>
        </w:rPr>
        <w:t>Annual Base Salary</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Annual Cash Bonus</w:t>
      </w:r>
      <w:bookmarkStart w:id="39" w:name="ole_link2"/>
      <w:bookmarkEnd w:id="39"/>
      <w:r>
        <w:rPr>
          <w:color w:val="000000"/>
          <w:u w:val="single"/>
        </w:rPr>
        <w:t xml:space="preserve"> </w:t>
      </w:r>
      <w:r>
        <w:rPr>
          <w:rFonts w:ascii="Times New Roman" w:hAnsi="Times New Roman"/>
          <w:color w:val="000000"/>
          <w:sz w:val="22"/>
          <w:u w:val="single"/>
        </w:rPr>
        <w:t>Opportunity</w:t>
      </w:r>
      <w:r>
        <w:rPr>
          <w:rFonts w:ascii="Times New Roman" w:hAnsi="Times New Roman"/>
          <w:color w:val="000000"/>
          <w:sz w:val="22"/>
        </w:rPr>
        <w:t>. During the Term, Executive will be eligible to participate in an annual incentive program established by the Board. Executive’s annual incentive compensation under such incentive program (the “</w:t>
      </w:r>
      <w:r>
        <w:rPr>
          <w:rFonts w:ascii="Times New Roman" w:hAnsi="Times New Roman"/>
          <w:color w:val="000000"/>
          <w:sz w:val="22"/>
          <w:u w:val="single"/>
        </w:rPr>
        <w:t>Annual Bonus</w:t>
      </w:r>
      <w:r>
        <w:rPr>
          <w:color w:val="000000"/>
        </w:rPr>
        <w:t>”</w:t>
      </w:r>
      <w:r>
        <w:rPr>
          <w:rFonts w:ascii="Times New Roman" w:hAnsi="Times New Roman"/>
          <w:color w:val="000000"/>
          <w:sz w:val="22"/>
        </w:rPr>
        <w:t>) shall be targeted at 50% of Executive’s Annual Base Salary (such target, as may be adjusted by the Board from time to time, the “</w:t>
      </w:r>
      <w:r>
        <w:rPr>
          <w:rFonts w:ascii="Times New Roman" w:hAnsi="Times New Roman"/>
          <w:color w:val="000000"/>
          <w:sz w:val="22"/>
          <w:u w:val="single"/>
        </w:rPr>
        <w:t>Target Annual Bonus</w:t>
      </w:r>
      <w:r>
        <w:rPr>
          <w:color w:val="000000"/>
        </w:rPr>
        <w:t>”</w:t>
      </w:r>
      <w:r>
        <w:rPr>
          <w:rFonts w:ascii="Times New Roman" w:hAnsi="Times New Roman"/>
          <w:color w:val="000000"/>
          <w:sz w:val="22"/>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 w:hAnsi="Times New Roman"/>
          <w:color w:val="000000"/>
          <w:sz w:val="22"/>
          <w:u w:val="single"/>
        </w:rPr>
        <w:t>Section 4(b)</w:t>
      </w:r>
      <w:r>
        <w:rPr>
          <w:rFonts w:ascii="Times New Roman" w:hAnsi="Times New Roman"/>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Benefits</w:t>
      </w:r>
      <w:r>
        <w:rPr>
          <w:rFonts w:ascii="Times New Roman" w:hAnsi="Times New Roman"/>
          <w:color w:val="00000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Vacation</w:t>
      </w:r>
      <w:r>
        <w:rPr>
          <w:rFonts w:ascii="Times New Roman" w:hAnsi="Times New Roman"/>
          <w:color w:val="000000"/>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Business Expenses</w:t>
      </w:r>
      <w:r>
        <w:rPr>
          <w:rFonts w:ascii="Times New Roman" w:hAnsi="Times New Roman"/>
          <w:color w:val="000000"/>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Clawback of Incentive Compensation</w:t>
      </w:r>
      <w:r>
        <w:rPr>
          <w:rFonts w:ascii="Times New Roman" w:hAnsi="Times New Roman"/>
          <w:color w:val="000000"/>
          <w:sz w:val="22"/>
        </w:rPr>
        <w:t>. Notwithstanding the foregoing, all incentive compensation payable to Executive during the Term of this Agreement shall be subject to clawback in accordance with Company policies, as may be adopted and/or amended from time to time, in accordance with applicable law, including, without limitation, SEC rules and regulations and/or rules of the exchange on which the Company’s equity securities may be listed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Key Person Insurance</w:t>
      </w:r>
      <w:r>
        <w:rPr>
          <w:rFonts w:ascii="Times New Roman" w:hAnsi="Times New Roman"/>
          <w:color w:val="000000"/>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Executive. Executive shall incur no financial obligation by executing any required document, and shall have no interest in any such policy.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2"/>
          <w:u w:val="single"/>
        </w:rPr>
        <w:t>Termination</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Circumstances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Death</w:t>
      </w:r>
      <w:r>
        <w:rPr>
          <w:rFonts w:ascii="Times New Roman" w:hAnsi="Times New Roman"/>
          <w:color w:val="000000"/>
          <w:sz w:val="22"/>
        </w:rPr>
        <w:t>. Executive’s employment hereunder shall terminate upon Executive’s death.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Disability</w:t>
      </w:r>
      <w:r>
        <w:rPr>
          <w:rFonts w:ascii="Times New Roman" w:hAnsi="Times New Roman"/>
          <w:color w:val="000000"/>
          <w:sz w:val="22"/>
        </w:rPr>
        <w:t>. If Executive has incurred a Disability, as defined below, the Company may terminate Executive’s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Termination for Cause</w:t>
      </w:r>
      <w:r>
        <w:rPr>
          <w:rFonts w:ascii="Times New Roman" w:hAnsi="Times New Roman"/>
          <w:color w:val="000000"/>
          <w:sz w:val="22"/>
        </w:rPr>
        <w:t>. The Company may terminate Executive’s employment for Cause, as defined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Termination without Cause</w:t>
      </w:r>
      <w:r>
        <w:rPr>
          <w:rFonts w:ascii="Times New Roman" w:hAnsi="Times New Roman"/>
          <w:color w:val="000000"/>
          <w:sz w:val="22"/>
        </w:rPr>
        <w:t>. The Company may terminate Executive’s employment without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 xml:space="preserve">Resignation from the Company with Good Reason. </w:t>
      </w:r>
      <w:r>
        <w:rPr>
          <w:rFonts w:ascii="Times New Roman" w:hAnsi="Times New Roman"/>
          <w:color w:val="000000"/>
          <w:sz w:val="22"/>
        </w:rPr>
        <w:t>Executive may resign Executive’s employment with the Company with Good Reason, as defined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pPr>
      <w:r>
        <w:rPr>
          <w:rFonts w:ascii="Times New Roman" w:hAnsi="Times New Roman"/>
          <w:i/>
          <w:color w:val="000000"/>
          <w:sz w:val="22"/>
        </w:rPr>
        <w:t>Resignation from the Company without Good Reason</w:t>
      </w:r>
      <w:r>
        <w:rPr>
          <w:rFonts w:ascii="Times New Roman" w:hAnsi="Times New Roman"/>
          <w:color w:val="000000"/>
          <w:sz w:val="22"/>
        </w:rPr>
        <w:t>. Executive may resign Executive’s employment with the Company for any reason other than Good Reason or for no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Notice of Termination</w:t>
      </w:r>
      <w:r>
        <w:rPr>
          <w:rFonts w:ascii="Times New Roman" w:hAnsi="Times New Roman"/>
          <w:color w:val="000000"/>
          <w:sz w:val="22"/>
        </w:rPr>
        <w:t xml:space="preserve">. Any termination of Executive’s employment by the Company or by Executive under this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 xml:space="preserve">(other than termination pursuant to </w:t>
      </w:r>
      <w:r>
        <w:rPr>
          <w:rFonts w:ascii="Times New Roman" w:hAnsi="Times New Roman"/>
          <w:color w:val="000000"/>
          <w:sz w:val="22"/>
          <w:u w:val="single"/>
        </w:rPr>
        <w:t>Section 3(a)(i))</w:t>
      </w:r>
      <w:r>
        <w:rPr>
          <w:color w:val="000000"/>
        </w:rPr>
        <w:t xml:space="preserve"> </w:t>
      </w:r>
      <w:r>
        <w:rPr>
          <w:rFonts w:ascii="Times New Roman" w:hAnsi="Times New Roman"/>
          <w:color w:val="000000"/>
          <w:sz w:val="22"/>
        </w:rPr>
        <w:t>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hAnsi="Times New Roman"/>
          <w:color w:val="000000"/>
          <w:sz w:val="22"/>
          <w:u w:val="single"/>
        </w:rPr>
        <w:t>Notice of Termination</w:t>
      </w:r>
      <w:r>
        <w:rPr>
          <w:color w:val="000000"/>
        </w:rPr>
        <w:t>”</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xml:space="preserve">,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Company Obligations upon Termination</w:t>
      </w:r>
      <w:r>
        <w:rPr>
          <w:rFonts w:ascii="Times New Roman" w:hAnsi="Times New Roman"/>
          <w:color w:val="000000"/>
          <w:sz w:val="22"/>
        </w:rPr>
        <w:t xml:space="preserve">. Upon termination of Executive’s employment pursuant to any of the circumstances listed in this </w:t>
      </w:r>
      <w:r>
        <w:rPr>
          <w:rFonts w:ascii="Times New Roman" w:hAnsi="Times New Roman"/>
          <w:color w:val="000000"/>
          <w:sz w:val="22"/>
          <w:u w:val="single"/>
        </w:rPr>
        <w:t>Section 3</w:t>
      </w:r>
      <w:r>
        <w:rPr>
          <w:rFonts w:ascii="Times New Roman" w:hAnsi="Times New Roman"/>
          <w:color w:val="000000"/>
          <w:sz w:val="22"/>
        </w:rPr>
        <w:t xml:space="preserve">, Executive (or Executive’s estate) shall be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 xml:space="preserve">entitled to receive the sum of: (i) the portion of Executive’s Annual Base Salary earned through the Date of Termination, but not yet paid to Executive; (ii) any expense reimbursements owed to Executive pursuant to </w:t>
      </w:r>
      <w:r>
        <w:rPr>
          <w:rFonts w:ascii="Times New Roman" w:hAnsi="Times New Roman"/>
          <w:color w:val="000000"/>
          <w:sz w:val="22"/>
          <w:u w:val="single"/>
        </w:rPr>
        <w:t>Section 2(e)</w:t>
      </w:r>
      <w:r>
        <w:rPr>
          <w:rFonts w:ascii="Times New Roman" w:hAnsi="Times New Roman"/>
          <w:color w:val="000000"/>
          <w:sz w:val="22"/>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hAnsi="Times New Roman"/>
          <w:color w:val="000000"/>
          <w:sz w:val="22"/>
          <w:u w:val="single"/>
        </w:rPr>
        <w:t>Company Arrangements</w:t>
      </w:r>
      <w:r>
        <w:rPr>
          <w:color w:val="000000"/>
        </w:rPr>
        <w:t>”</w:t>
      </w:r>
      <w:r>
        <w:rPr>
          <w:rFonts w:ascii="Times New Roman" w:hAnsi="Times New Roman"/>
          <w:color w:val="000000"/>
          <w:sz w:val="22"/>
        </w:rPr>
        <w:t xml:space="preserve">). Except as otherwise expressly required by law (e.g.,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hAnsi="Times New Roman"/>
          <w:color w:val="000000"/>
          <w:sz w:val="22"/>
          <w:u w:val="single"/>
        </w:rPr>
        <w:t xml:space="preserve">Section 3(c)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2"/>
        </w:rPr>
        <w:t>, as applicable.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Deemed Resignation</w:t>
      </w:r>
      <w:r>
        <w:rPr>
          <w:rFonts w:ascii="Times New Roman" w:hAnsi="Times New Roman"/>
          <w:color w:val="000000"/>
          <w:sz w:val="22"/>
        </w:rPr>
        <w:t>. Upon termination of Executive’s employment for any reason, Executive shall be deemed to have resigned from all offices and directorships, if any, then held with the Company or any of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2"/>
          <w:u w:val="single"/>
        </w:rPr>
        <w:t>Severance Payments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Termination for Cause, or Termination Upon Death, Disability or Resignation from the Company Without Good Reason</w:t>
      </w:r>
      <w:r>
        <w:rPr>
          <w:rFonts w:ascii="Times New Roman" w:hAnsi="Times New Roman"/>
          <w:color w:val="000000"/>
          <w:sz w:val="22"/>
        </w:rPr>
        <w:t xml:space="preserve">. If Executive’s employment shall terminate as a result of Executive’s death pursuant to </w:t>
      </w:r>
      <w:r>
        <w:rPr>
          <w:rFonts w:ascii="Times New Roman" w:hAnsi="Times New Roman"/>
          <w:color w:val="000000"/>
          <w:sz w:val="22"/>
          <w:u w:val="single"/>
        </w:rPr>
        <w:t>Section 3(a)(i)</w:t>
      </w:r>
      <w:r>
        <w:rPr>
          <w:color w:val="000000"/>
        </w:rPr>
        <w:t xml:space="preserve"> </w:t>
      </w:r>
      <w:r>
        <w:rPr>
          <w:rFonts w:ascii="Times New Roman" w:hAnsi="Times New Roman"/>
          <w:color w:val="000000"/>
          <w:sz w:val="22"/>
        </w:rPr>
        <w:t xml:space="preserve">or Disability pursuant to </w:t>
      </w:r>
      <w:r>
        <w:rPr>
          <w:rFonts w:ascii="Times New Roman" w:hAnsi="Times New Roman"/>
          <w:color w:val="000000"/>
          <w:sz w:val="22"/>
          <w:u w:val="single"/>
        </w:rPr>
        <w:t>Section 3(a)(ii)</w:t>
      </w:r>
      <w:r>
        <w:rPr>
          <w:rFonts w:ascii="Times New Roman" w:hAnsi="Times New Roman"/>
          <w:color w:val="000000"/>
          <w:sz w:val="22"/>
        </w:rPr>
        <w:t xml:space="preserve">, pursuant to </w:t>
      </w:r>
      <w:r>
        <w:rPr>
          <w:rFonts w:ascii="Times New Roman" w:hAnsi="Times New Roman"/>
          <w:color w:val="000000"/>
          <w:sz w:val="22"/>
          <w:u w:val="single"/>
        </w:rPr>
        <w:t>Section 3(a)(iii)</w:t>
      </w:r>
      <w:r>
        <w:rPr>
          <w:color w:val="000000"/>
        </w:rPr>
        <w:t xml:space="preserve"> </w:t>
      </w:r>
      <w:r>
        <w:rPr>
          <w:rFonts w:ascii="Times New Roman" w:hAnsi="Times New Roman"/>
          <w:color w:val="000000"/>
          <w:sz w:val="22"/>
        </w:rPr>
        <w:t xml:space="preserve">for Cause, or pursuant to </w:t>
      </w:r>
      <w:r>
        <w:rPr>
          <w:rFonts w:ascii="Times New Roman" w:hAnsi="Times New Roman"/>
          <w:color w:val="000000"/>
          <w:sz w:val="22"/>
          <w:u w:val="single"/>
        </w:rPr>
        <w:t>Section 3(a)(vi)</w:t>
      </w:r>
      <w:r>
        <w:rPr>
          <w:color w:val="000000"/>
        </w:rPr>
        <w:t xml:space="preserve"> </w:t>
      </w:r>
      <w:r>
        <w:rPr>
          <w:rFonts w:ascii="Times New Roman" w:hAnsi="Times New Roman"/>
          <w:color w:val="000000"/>
          <w:sz w:val="22"/>
        </w:rPr>
        <w:t xml:space="preserve">for Executive’s resignation from the Company without Good Reason, then Executive shall not be entitled to any severance payments or benefits, except as provided in </w:t>
      </w:r>
      <w:r>
        <w:rPr>
          <w:rFonts w:ascii="Times New Roman" w:hAnsi="Times New Roman"/>
          <w:color w:val="000000"/>
          <w:sz w:val="22"/>
          <w:u w:val="single"/>
        </w:rPr>
        <w:t>Section 3(c)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Termination without Cause or Resignation from the Company with Good Reason</w:t>
      </w:r>
      <w:r>
        <w:rPr>
          <w:rFonts w:ascii="Times New Roman" w:hAnsi="Times New Roman"/>
          <w:color w:val="000000"/>
          <w:sz w:val="22"/>
        </w:rPr>
        <w:t xml:space="preserve">. If Executive’s employment terminates without Cause pursuant to </w:t>
      </w:r>
      <w:r>
        <w:rPr>
          <w:rFonts w:ascii="Times New Roman" w:hAnsi="Times New Roman"/>
          <w:color w:val="000000"/>
          <w:sz w:val="22"/>
          <w:u w:val="single"/>
        </w:rPr>
        <w:t>Section 3(a)(iv)</w:t>
      </w:r>
      <w:r>
        <w:rPr>
          <w:rFonts w:ascii="Times New Roman" w:hAnsi="Times New Roman"/>
          <w:color w:val="000000"/>
          <w:sz w:val="22"/>
        </w:rPr>
        <w:t xml:space="preserve">, or pursuant to </w:t>
      </w:r>
      <w:r>
        <w:rPr>
          <w:rFonts w:ascii="Times New Roman" w:hAnsi="Times New Roman"/>
          <w:color w:val="000000"/>
          <w:sz w:val="22"/>
          <w:u w:val="single"/>
        </w:rPr>
        <w:t>Section 3(a)(v)</w:t>
      </w:r>
      <w:r>
        <w:rPr>
          <w:color w:val="000000"/>
        </w:rPr>
        <w:t xml:space="preserve"> </w:t>
      </w:r>
      <w:r>
        <w:rPr>
          <w:rFonts w:ascii="Times New Roman" w:hAnsi="Times New Roman"/>
          <w:color w:val="000000"/>
          <w:sz w:val="22"/>
        </w:rPr>
        <w:t xml:space="preserve">due to Executive’s resignation with Good Reason, then except as otherwise provided under </w:t>
      </w:r>
      <w:r>
        <w:rPr>
          <w:rFonts w:ascii="Times New Roman" w:hAnsi="Times New Roman"/>
          <w:color w:val="000000"/>
          <w:sz w:val="22"/>
          <w:u w:val="single"/>
        </w:rPr>
        <w:t>Section 4(c)</w:t>
      </w:r>
      <w:r>
        <w:rPr>
          <w:color w:val="000000"/>
        </w:rPr>
        <w:t xml:space="preserve"> </w:t>
      </w:r>
      <w:r>
        <w:rPr>
          <w:rFonts w:ascii="Times New Roman" w:hAnsi="Times New Roman"/>
          <w:color w:val="000000"/>
          <w:sz w:val="22"/>
        </w:rPr>
        <w:t xml:space="preserve">and subject to Executive signing on or before the 21st day following Executive’s Separation from Service (as defined below), and not revoking, a release of claims substantially in the form attached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to this Agreement (the “</w:t>
      </w:r>
      <w:r>
        <w:rPr>
          <w:rFonts w:ascii="Times New Roman" w:hAnsi="Times New Roman"/>
          <w:color w:val="000000"/>
          <w:sz w:val="22"/>
          <w:u w:val="single"/>
        </w:rPr>
        <w:t>Release</w:t>
      </w:r>
      <w:r>
        <w:rPr>
          <w:color w:val="000000"/>
        </w:rPr>
        <w:t>”</w:t>
      </w:r>
      <w:r>
        <w:rPr>
          <w:rFonts w:ascii="Times New Roman" w:hAnsi="Times New Roman"/>
          <w:color w:val="000000"/>
          <w:sz w:val="22"/>
        </w:rPr>
        <w:t xml:space="preserve">) and Executive’s continued compliance with </w:t>
      </w:r>
      <w:r>
        <w:rPr>
          <w:rFonts w:ascii="Times New Roman" w:hAnsi="Times New Roman"/>
          <w:color w:val="000000"/>
          <w:sz w:val="22"/>
          <w:u w:val="single"/>
        </w:rPr>
        <w:t>Section 5</w:t>
      </w:r>
      <w:r>
        <w:rPr>
          <w:rFonts w:ascii="Times New Roman" w:hAnsi="Times New Roman"/>
          <w:color w:val="000000"/>
          <w:sz w:val="22"/>
        </w:rPr>
        <w:t xml:space="preserve">, Executive shall receive, in addition to payments and benefits set forth in </w:t>
      </w:r>
      <w:r>
        <w:rPr>
          <w:rFonts w:ascii="Times New Roman" w:hAnsi="Times New Roman"/>
          <w:color w:val="000000"/>
          <w:sz w:val="22"/>
          <w:u w:val="single"/>
        </w:rPr>
        <w:t>Section 3(c)</w:t>
      </w:r>
      <w:r>
        <w:rPr>
          <w:rFonts w:ascii="Times New Roman" w:hAnsi="Times New Roman"/>
          <w:color w:val="000000"/>
          <w:sz w:val="22"/>
        </w:rPr>
        <w: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an aggregate amount in cash equal to 1.0 times the Annual Base Salary, payable in the form of salary continuation in regular installments over the 12 month period following the date of Executive’s Separation from Service (the “</w:t>
      </w:r>
      <w:r>
        <w:rPr>
          <w:rFonts w:ascii="Times New Roman" w:hAnsi="Times New Roman"/>
          <w:color w:val="000000"/>
          <w:sz w:val="22"/>
          <w:u w:val="single"/>
        </w:rPr>
        <w:t>Severance Period</w:t>
      </w:r>
      <w:r>
        <w:rPr>
          <w:color w:val="000000"/>
        </w:rPr>
        <w:t>”</w:t>
      </w:r>
      <w:r>
        <w:rPr>
          <w:rFonts w:ascii="Times New Roman" w:hAnsi="Times New Roman"/>
          <w:color w:val="000000"/>
          <w:sz w:val="22"/>
        </w:rPr>
        <w:t>) in accordance with the Company’s normal payroll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hAnsi="Times New Roman"/>
          <w:color w:val="000000"/>
          <w:sz w:val="22"/>
          <w:u w:val="single"/>
        </w:rPr>
        <w:t>COBRA</w:t>
      </w:r>
      <w:r>
        <w:rPr>
          <w:color w:val="000000"/>
        </w:rPr>
        <w:t>”</w:t>
      </w:r>
      <w:r>
        <w:rPr>
          <w:rFonts w:ascii="Times New Roman" w:hAnsi="Times New Roman"/>
          <w:color w:val="000000"/>
          <w:sz w:val="22"/>
        </w:rPr>
        <w:t xml:space="preserve">), then the Company shall directly pay, or reimburse Executive for, the COBRA premiums for Executive and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 w:hAnsi="Times New Roman"/>
          <w:color w:val="000000"/>
          <w:sz w:val="22"/>
          <w:u w:val="single"/>
        </w:rPr>
        <w:t>COBRA Continuation Period</w:t>
      </w:r>
      <w:r>
        <w:rPr>
          <w:color w:val="000000"/>
        </w:rPr>
        <w:t>”</w:t>
      </w:r>
      <w:r>
        <w:rPr>
          <w:rFonts w:ascii="Times New Roman" w:hAnsi="Times New Roman"/>
          <w:color w:val="000000"/>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In lieu of the payments and benefits set forth in </w:t>
      </w:r>
      <w:r>
        <w:rPr>
          <w:rFonts w:ascii="Times New Roman" w:hAnsi="Times New Roman"/>
          <w:color w:val="000000"/>
          <w:sz w:val="22"/>
          <w:u w:val="single"/>
        </w:rPr>
        <w:t>Section 4(b)</w:t>
      </w:r>
      <w:r>
        <w:rPr>
          <w:rFonts w:ascii="Times New Roman" w:hAnsi="Times New Roman"/>
          <w:color w:val="000000"/>
          <w:sz w:val="22"/>
        </w:rPr>
        <w:t xml:space="preserve">, in the event Executive’s employment terminates without Cause pursuant to </w:t>
      </w:r>
      <w:r>
        <w:rPr>
          <w:rFonts w:ascii="Times New Roman" w:hAnsi="Times New Roman"/>
          <w:color w:val="000000"/>
          <w:sz w:val="22"/>
          <w:u w:val="single"/>
        </w:rPr>
        <w:t>Section 3(a)(iv)</w:t>
      </w:r>
      <w:r>
        <w:rPr>
          <w:rFonts w:ascii="Times New Roman" w:hAnsi="Times New Roman"/>
          <w:color w:val="000000"/>
          <w:sz w:val="22"/>
        </w:rPr>
        <w:t xml:space="preserve">, or pursuant to </w:t>
      </w:r>
      <w:r>
        <w:rPr>
          <w:rFonts w:ascii="Times New Roman" w:hAnsi="Times New Roman"/>
          <w:color w:val="000000"/>
          <w:sz w:val="22"/>
          <w:u w:val="single"/>
        </w:rPr>
        <w:t>Section 3(a)(v)</w:t>
      </w:r>
      <w:r>
        <w:rPr>
          <w:color w:val="000000"/>
        </w:rPr>
        <w:t xml:space="preserve"> </w:t>
      </w:r>
      <w:r>
        <w:rPr>
          <w:rFonts w:ascii="Times New Roman" w:hAnsi="Times New Roman"/>
          <w:color w:val="000000"/>
          <w:sz w:val="22"/>
        </w:rPr>
        <w:t xml:space="preserve">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hAnsi="Times New Roman"/>
          <w:color w:val="000000"/>
          <w:sz w:val="22"/>
          <w:u w:val="single"/>
        </w:rPr>
        <w:t>Section 5</w:t>
      </w:r>
      <w:r>
        <w:rPr>
          <w:rFonts w:ascii="Times New Roman" w:hAnsi="Times New Roman"/>
          <w:color w:val="000000"/>
          <w:sz w:val="22"/>
        </w:rPr>
        <w:t xml:space="preserve">, Executive shall receive, in addition to the payments and benefits set forth in </w:t>
      </w:r>
      <w:r>
        <w:rPr>
          <w:rFonts w:ascii="Times New Roman" w:hAnsi="Times New Roman"/>
          <w:color w:val="000000"/>
          <w:sz w:val="22"/>
          <w:u w:val="single"/>
        </w:rPr>
        <w:t>Section 3(c)</w:t>
      </w:r>
      <w:r>
        <w:rPr>
          <w:rFonts w:ascii="Times New Roman" w:hAnsi="Times New Roman"/>
          <w:color w:val="000000"/>
          <w:sz w:val="22"/>
        </w:rPr>
        <w: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an aggregate amount in cash equal to 1.5 times the Annual Base Salary, payable in equal installments over the 18 month period following the date of Executive’s Separation from Service (the “</w:t>
      </w:r>
      <w:r>
        <w:rPr>
          <w:rFonts w:ascii="Times New Roman" w:hAnsi="Times New Roman"/>
          <w:color w:val="000000"/>
          <w:sz w:val="22"/>
          <w:u w:val="single"/>
        </w:rPr>
        <w:t>CIC Severance Period</w:t>
      </w:r>
      <w:r>
        <w:rPr>
          <w:color w:val="000000"/>
        </w:rPr>
        <w:t>”</w:t>
      </w:r>
      <w:r>
        <w:rPr>
          <w:rFonts w:ascii="Times New Roman" w:hAnsi="Times New Roman"/>
          <w:color w:val="000000"/>
          <w:sz w:val="22"/>
        </w:rPr>
        <w:t>) in accordance with the Company’s normal payroll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the payment set forth in </w:t>
      </w:r>
      <w:r>
        <w:rPr>
          <w:rFonts w:ascii="Times New Roman" w:hAnsi="Times New Roman"/>
          <w:color w:val="000000"/>
          <w:sz w:val="22"/>
          <w:u w:val="single"/>
        </w:rPr>
        <w:t>Section 4(b)(ii)</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the benefits set forth in </w:t>
      </w:r>
      <w:r>
        <w:rPr>
          <w:rFonts w:ascii="Times New Roman" w:hAnsi="Times New Roman"/>
          <w:color w:val="000000"/>
          <w:sz w:val="22"/>
          <w:u w:val="single"/>
        </w:rPr>
        <w:t>Section 4(b)(iii)</w:t>
      </w:r>
      <w:r>
        <w:rPr>
          <w:rFonts w:ascii="Times New Roman" w:hAnsi="Times New Roman"/>
          <w:color w:val="000000"/>
          <w:sz w:val="22"/>
        </w:rPr>
        <w:t xml:space="preserve">, provided that for this purpose, the “Severance Period” will mean the CIC Severance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amount in cash equal to 1.5 times the Target Annual Bonus, payable in a lump sum on the Company’s first ordinary payroll date that occurs after the Date of Termination;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Notwithstanding anything to the contrary in this Agreement, the provisions of </w:t>
      </w:r>
      <w:r>
        <w:rPr>
          <w:rFonts w:ascii="Times New Roman" w:hAnsi="Times New Roman"/>
          <w:color w:val="000000"/>
          <w:sz w:val="22"/>
          <w:u w:val="single"/>
        </w:rPr>
        <w:t xml:space="preserve">Sections </w:t>
      </w:r>
      <w:r>
        <w:rPr>
          <w:rFonts w:ascii="Times New Roman" w:hAnsi="Times New Roman"/>
          <w:color w:val="000000"/>
          <w:sz w:val="22"/>
        </w:rPr>
        <w:t xml:space="preserve">5 through </w:t>
      </w:r>
      <w:r>
        <w:rPr>
          <w:rFonts w:ascii="Times New Roman" w:hAnsi="Times New Roman"/>
          <w:color w:val="000000"/>
          <w:sz w:val="22"/>
          <w:u w:val="single"/>
        </w:rPr>
        <w:t>9</w:t>
      </w:r>
      <w:r>
        <w:rPr>
          <w:color w:val="000000"/>
        </w:rPr>
        <w:t xml:space="preserve"> </w:t>
      </w:r>
      <w:r>
        <w:rPr>
          <w:rFonts w:ascii="Times New Roman" w:hAnsi="Times New Roman"/>
          <w:color w:val="000000"/>
          <w:sz w:val="22"/>
        </w:rPr>
        <w:t>will survive the termination of Executive’s employment and the termination of the Term.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2"/>
          <w:u w:val="single"/>
        </w:rPr>
        <w:t>Restrictive Covenants</w:t>
      </w:r>
      <w:r>
        <w:rPr>
          <w:rFonts w:ascii="Times New Roman" w:hAnsi="Times New Roman"/>
          <w:b/>
          <w:color w:val="000000"/>
          <w:sz w:val="22"/>
        </w:rPr>
        <w:t xml:space="preserve">. </w:t>
      </w:r>
      <w:r>
        <w:rPr>
          <w:rFonts w:ascii="Times New Roman" w:hAnsi="Times New Roman"/>
          <w:color w:val="000000"/>
          <w:sz w:val="22"/>
        </w:rPr>
        <w:t>Executive acknowledges that Executive is subject to the terms and provisions of an Employee Proprietary Information and Inventions Assignment Agreement, effective as of [______, __] (the “</w:t>
      </w:r>
      <w:r>
        <w:rPr>
          <w:rFonts w:ascii="Times New Roman" w:hAnsi="Times New Roman"/>
          <w:color w:val="000000"/>
          <w:sz w:val="22"/>
          <w:u w:val="single"/>
        </w:rPr>
        <w:t>Restrictive Covenant Agreement</w:t>
      </w:r>
      <w:r>
        <w:rPr>
          <w:color w:val="000000"/>
        </w:rPr>
        <w:t>”</w:t>
      </w:r>
      <w:r>
        <w:rPr>
          <w:rFonts w:ascii="Times New Roman" w:hAnsi="Times New Roman"/>
          <w:color w:val="000000"/>
          <w:sz w:val="22"/>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2"/>
          <w:u w:val="single"/>
        </w:rPr>
        <w:t>Assignment and Successors</w:t>
      </w:r>
      <w:r>
        <w:rPr>
          <w:rFonts w:ascii="Times New Roman" w:hAnsi="Times New Roman"/>
          <w:b/>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2"/>
          <w:u w:val="single"/>
        </w:rPr>
        <w:t>Certain Definitions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Cause</w:t>
      </w:r>
      <w:r>
        <w:rPr>
          <w:rFonts w:ascii="Times New Roman" w:hAnsi="Times New Roman"/>
          <w:color w:val="000000"/>
          <w:sz w:val="22"/>
        </w:rPr>
        <w:t>. The Company shall have “Cause” to terminate Executive’s employment hereunder upon: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material breach of a Policy, this Agreement or any other material agreement between the Executive and the Company (including, without limitation, the Restrictive Covenant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Executive’s conviction, plea of no contest, plea of </w:t>
      </w:r>
      <w:r>
        <w:rPr>
          <w:rFonts w:ascii="Times New Roman" w:hAnsi="Times New Roman"/>
          <w:i/>
          <w:color w:val="000000"/>
          <w:sz w:val="22"/>
        </w:rPr>
        <w:t>nolo contendere</w:t>
      </w:r>
      <w:r>
        <w:rPr>
          <w:rFonts w:ascii="Times New Roman" w:hAnsi="Times New Roman"/>
          <w:color w:val="000000"/>
          <w:sz w:val="22"/>
        </w:rPr>
        <w:t>, or imposition of unadjudicated probation for any felony or crime involving moral turpitude;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unlawful use (including being under the influence) or possession of illegal drugs on the Company’s (or any of its affiliate’s) premises or while performing Executive’s duties and responsibilities under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Executive’s commission of any act of fraud or material dishonesty, embezzlement, misappropriation, willful misconduct, or breach of fiduciary duty against the Company or any of its affiliates; </w:t>
      </w:r>
    </w:p>
    <w:p>
      <w:pPr>
        <w:pStyle w:val="TextBody"/>
        <w:bidi w:val="0"/>
        <w:spacing w:before="0" w:after="240"/>
        <w:jc w:val="both"/>
        <w:rPr>
          <w:rFonts w:ascii="Times New Roman" w:hAnsi="Times New Roman"/>
          <w:sz w:val="20"/>
        </w:rPr>
      </w:pPr>
      <w:r>
        <w:rPr>
          <w:rFonts w:ascii="Times New Roman" w:hAnsi="Times New Roman"/>
          <w:color w:val="000000"/>
          <w:sz w:val="22"/>
        </w:rPr>
        <w:t>provided, however, that Executive’s termination will not be considered for Cause unless and until (a) the Company has provided Executive, within 60 days of the Company’s knowledge of the occurrence of the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“Change in Control” shall have the meaning set forth in the Sight Sciences, Inc. 2021 Incentive Award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Code</w:t>
      </w:r>
      <w:r>
        <w:rPr>
          <w:rFonts w:ascii="Times New Roman" w:hAnsi="Times New Roman"/>
          <w:color w:val="000000"/>
          <w:sz w:val="22"/>
        </w:rPr>
        <w:t>. “Code” shall mean the Internal Revenue Code of 1986, as amended, and the regulations and guidance promulgated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Date of Termination</w:t>
      </w:r>
      <w:r>
        <w:rPr>
          <w:rFonts w:ascii="Times New Roman" w:hAnsi="Times New Roman"/>
          <w:color w:val="000000"/>
          <w:sz w:val="22"/>
        </w:rPr>
        <w:t xml:space="preserve">. “Date of Termination” shall mean (i) if Executive’s employment is terminated by Executive’s death, the date of Executive’s death; or (ii) if Executive’s employment is terminated pursuant to </w:t>
      </w:r>
      <w:r>
        <w:rPr>
          <w:rFonts w:ascii="Times New Roman" w:hAnsi="Times New Roman"/>
          <w:color w:val="000000"/>
          <w:sz w:val="22"/>
          <w:u w:val="single"/>
        </w:rPr>
        <w:t>Section 3(a)(ii)</w:t>
      </w:r>
      <w:r>
        <w:rPr>
          <w:color w:val="000000"/>
        </w:rPr>
        <w:t xml:space="preserve"> – </w:t>
      </w:r>
      <w:r>
        <w:rPr>
          <w:rFonts w:ascii="Times New Roman" w:hAnsi="Times New Roman"/>
          <w:color w:val="000000"/>
          <w:sz w:val="22"/>
          <w:u w:val="single"/>
        </w:rPr>
        <w:t>(vi)</w:t>
      </w:r>
      <w:r>
        <w:rPr>
          <w:color w:val="000000"/>
        </w:rPr>
        <w:t xml:space="preserve"> </w:t>
      </w:r>
      <w:r>
        <w:rPr>
          <w:rFonts w:ascii="Times New Roman" w:hAnsi="Times New Roman"/>
          <w:color w:val="000000"/>
          <w:sz w:val="22"/>
        </w:rPr>
        <w:t xml:space="preserve">either the date indicated in the Notice of Termination or the date specified by the Company pursuant to </w:t>
      </w:r>
      <w:r>
        <w:rPr>
          <w:rFonts w:ascii="Times New Roman" w:hAnsi="Times New Roman"/>
          <w:color w:val="000000"/>
          <w:sz w:val="22"/>
          <w:u w:val="single"/>
        </w:rPr>
        <w:t>Section 3(b)</w:t>
      </w:r>
      <w:r>
        <w:rPr>
          <w:rFonts w:ascii="Times New Roman" w:hAnsi="Times New Roman"/>
          <w:color w:val="000000"/>
          <w:sz w:val="22"/>
        </w:rPr>
        <w:t>, whichever is earlier.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Disability</w:t>
      </w:r>
      <w:r>
        <w:rPr>
          <w:rFonts w:ascii="Times New Roman" w:hAnsi="Times New Roman"/>
          <w:color w:val="000000"/>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hAnsi="Times New Roman"/>
          <w:i/>
          <w:color w:val="000000"/>
          <w:sz w:val="22"/>
        </w:rPr>
        <w:t>provided, however</w:t>
      </w:r>
      <w:r>
        <w:rPr>
          <w:rFonts w:ascii="Times New Roman" w:hAnsi="Times New Roman"/>
          <w:color w:val="000000"/>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Good Reason</w:t>
      </w:r>
      <w:r>
        <w:rPr>
          <w:rFonts w:ascii="Times New Roman" w:hAnsi="Times New Roman"/>
          <w:color w:val="000000"/>
          <w:sz w:val="22"/>
        </w:rPr>
        <w:t xml:space="preserve">.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 (iii) 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Executive. Notwithstanding the foregoing,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2"/>
          <w:u w:val="single"/>
        </w:rPr>
        <w:t>Parachute Payments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being hereinafter referred to as the “</w:t>
      </w:r>
      <w:r>
        <w:rPr>
          <w:rFonts w:ascii="Times New Roman" w:hAnsi="Times New Roman"/>
          <w:color w:val="000000"/>
          <w:sz w:val="22"/>
          <w:u w:val="single"/>
        </w:rPr>
        <w:t>Total Payments</w:t>
      </w:r>
      <w:r>
        <w:rPr>
          <w:color w:val="000000"/>
        </w:rPr>
        <w:t>”</w:t>
      </w:r>
      <w:r>
        <w:rPr>
          <w:rFonts w:ascii="Times New Roman" w:hAnsi="Times New Roman"/>
          <w:color w:val="000000"/>
          <w:sz w:val="22"/>
        </w:rPr>
        <w:t>), would be subject (in whole or in part) to the excise tax imposed by Section 4999 of the Code (the “</w:t>
      </w:r>
      <w:r>
        <w:rPr>
          <w:rFonts w:ascii="Times New Roman" w:hAnsi="Times New Roman"/>
          <w:color w:val="000000"/>
          <w:sz w:val="22"/>
          <w:u w:val="single"/>
        </w:rPr>
        <w:t>Excise Tax</w:t>
      </w:r>
      <w:r>
        <w:rPr>
          <w:color w:val="000000"/>
        </w:rPr>
        <w:t>”</w:t>
      </w:r>
      <w:r>
        <w:rPr>
          <w:rFonts w:ascii="Times New Roman" w:hAnsi="Times New Roman"/>
          <w:color w:val="000000"/>
          <w:sz w:val="22"/>
        </w:rPr>
        <w:t xml:space="preserve">), then the Total Payments shall be reduced (in the order provided in </w:t>
      </w:r>
      <w:r>
        <w:rPr>
          <w:rFonts w:ascii="Times New Roman" w:hAnsi="Times New Roman"/>
          <w:color w:val="000000"/>
          <w:sz w:val="22"/>
          <w:u w:val="single"/>
        </w:rPr>
        <w:t>Section 8(b)</w:t>
      </w:r>
      <w:r>
        <w:rPr>
          <w:rFonts w:ascii="Times New Roman" w:hAnsi="Times New Roman"/>
          <w:color w:val="000000"/>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Total Payments shall be reduced in the following order: (i) reduction on a pro rata basis of any cash severance payments that are exempt from Section 409A of the Code (“</w:t>
      </w:r>
      <w:r>
        <w:rPr>
          <w:rFonts w:ascii="Times New Roman" w:hAnsi="Times New Roman"/>
          <w:color w:val="000000"/>
          <w:sz w:val="22"/>
          <w:u w:val="single"/>
        </w:rPr>
        <w:t>Section 409A</w:t>
      </w:r>
      <w:r>
        <w:rPr>
          <w:color w:val="000000"/>
        </w:rPr>
        <w:t>”</w:t>
      </w:r>
      <w:r>
        <w:rPr>
          <w:rFonts w:ascii="Times New Roman" w:hAnsi="Times New Roman"/>
          <w:color w:val="000000"/>
          <w:sz w:val="22"/>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All determinations regarding the application of this </w:t>
      </w:r>
      <w:r>
        <w:rPr>
          <w:rFonts w:ascii="Times New Roman" w:hAnsi="Times New Roman"/>
          <w:color w:val="000000"/>
          <w:sz w:val="22"/>
          <w:u w:val="single"/>
        </w:rPr>
        <w:t>Section 8</w:t>
      </w:r>
      <w:r>
        <w:rPr>
          <w:color w:val="000000"/>
        </w:rPr>
        <w:t xml:space="preserve"> </w:t>
      </w:r>
      <w:r>
        <w:rPr>
          <w:rFonts w:ascii="Times New Roman" w:hAnsi="Times New Roman"/>
          <w:color w:val="000000"/>
          <w:sz w:val="22"/>
        </w:rPr>
        <w:t>shall be made by an accounting firm or consulting group with experience in performing calculations regarding the applicability of Section 280G of the Code and the Excise Tax selected by the Company (the “</w:t>
      </w:r>
      <w:r>
        <w:rPr>
          <w:rFonts w:ascii="Times New Roman" w:hAnsi="Times New Roman"/>
          <w:color w:val="000000"/>
          <w:sz w:val="22"/>
          <w:u w:val="single"/>
        </w:rPr>
        <w:t>Independent Advisors</w:t>
      </w:r>
      <w:r>
        <w:rPr>
          <w:color w:val="000000"/>
        </w:rPr>
        <w:t>”</w:t>
      </w:r>
      <w:r>
        <w:rPr>
          <w:rFonts w:ascii="Times New Roman" w:hAnsi="Times New Roman"/>
          <w:color w:val="000000"/>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In the event it is later determined that a greater reduction in the Total Payments should have been made to implement the objective and intent of this </w:t>
      </w:r>
      <w:r>
        <w:rPr>
          <w:rFonts w:ascii="Times New Roman" w:hAnsi="Times New Roman"/>
          <w:color w:val="000000"/>
          <w:sz w:val="22"/>
          <w:u w:val="single"/>
        </w:rPr>
        <w:t>Section 8</w:t>
      </w:r>
      <w:r>
        <w:rPr>
          <w:rFonts w:ascii="Times New Roman" w:hAnsi="Times New Roman"/>
          <w:color w:val="000000"/>
          <w:sz w:val="22"/>
        </w:rPr>
        <w:t xml:space="preserve">, the excess amount shall be returned promptly by Executive to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2"/>
          <w:u w:val="single"/>
        </w:rPr>
        <w:t>Miscellaneous Provisions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This Agreement shall be governed, construed, interpreted and enforced in accordance with its express terms, and otherwise in accordance with the substantive laws of the State of Minnesota without reference to the principles of conflicts of law of the State of Minnesota or any other jurisdiction that would result in the application of the laws of a jurisdiction other than the State of Minnesota, and where applicable, the laws of the United States.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Validity</w:t>
      </w:r>
      <w:r>
        <w:rPr>
          <w:rFonts w:ascii="Times New Roman" w:hAnsi="Times New Roman"/>
          <w:color w:val="000000"/>
          <w:sz w:val="22"/>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to the Chief Executive Officer of the Company at the Company’s headquarters,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Executive, to the last address that the Company has in its personnel records for Executive,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any other address as any Party shall have specified by notice in writing to the other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The terms of this Agreement, and the Restrictive Covenant Agreement incorporated herein by reference as set forth in </w:t>
      </w:r>
      <w:r>
        <w:rPr>
          <w:rFonts w:ascii="Times New Roman" w:hAnsi="Times New Roman"/>
          <w:color w:val="000000"/>
          <w:sz w:val="22"/>
          <w:u w:val="single"/>
        </w:rPr>
        <w:t>Section 5</w:t>
      </w:r>
      <w:r>
        <w:rPr>
          <w:rFonts w:ascii="Times New Roman" w:hAnsi="Times New Roman"/>
          <w:color w:val="000000"/>
          <w:sz w:val="22"/>
        </w:rPr>
        <w:t xml:space="preserv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Amendments; Waivers</w:t>
      </w:r>
      <w:r>
        <w:rPr>
          <w:rFonts w:ascii="Times New Roman" w:hAnsi="Times New Roman"/>
          <w:color w:val="000000"/>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waiver shall not operate as a waiver of, or estoppel with respect to, any other or subsequent failure. No failure to exercise and no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delay in exercising any right, remedy, or power hereunder will preclude any other or further exercise of any other right, remedy, or power provided herein or by law or in equity.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Construction</w:t>
      </w:r>
      <w:r>
        <w:rPr>
          <w:rFonts w:ascii="Times New Roman" w:hAnsi="Times New Roman"/>
          <w:color w:val="000000"/>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Arbitration</w:t>
      </w:r>
      <w:r>
        <w:rPr>
          <w:rFonts w:ascii="Times New Roman" w:hAnsi="Times New Roman"/>
          <w:color w:val="000000"/>
          <w:sz w:val="22"/>
        </w:rPr>
        <w:t>. Any controversy, claim or dispute arising out of or relating to this Agreement, shall be settled solely and exclusively by a binding arbitration process administered by JAMS/Endispute in Minneapolis, Minnesota.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hAnsi="Times New Roman"/>
          <w:color w:val="000000"/>
          <w:sz w:val="22"/>
          <w:u w:val="single"/>
        </w:rPr>
        <w:t>AAA</w:t>
      </w:r>
      <w:r>
        <w:rPr>
          <w:color w:val="000000"/>
        </w:rPr>
        <w:t>”</w:t>
      </w:r>
      <w:r>
        <w:rPr>
          <w:rFonts w:ascii="Times New Roman" w:hAnsi="Times New Roman"/>
          <w:color w:val="00000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Enforcement</w:t>
      </w:r>
      <w:r>
        <w:rPr>
          <w:rFonts w:ascii="Times New Roman" w:hAnsi="Times New Roman"/>
          <w:color w:val="000000"/>
          <w:sz w:val="22"/>
        </w:rPr>
        <w:t xml:space="preserve">.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terms to such illegal, invalid or unenforceable provision as may be possible and be legal, valid and 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General.</w:t>
      </w:r>
      <w:r>
        <w:rPr>
          <w:color w:val="000000"/>
        </w:rPr>
        <w:t xml:space="preserve"> </w:t>
      </w:r>
      <w:r>
        <w:rPr>
          <w:rFonts w:ascii="Times New Roman" w:hAnsi="Times New Roman"/>
          <w:color w:val="000000"/>
          <w:sz w:val="22"/>
        </w:rPr>
        <w:t xml:space="preserve">The intent of the Parties is that the payments and benefits under this Agreement comply with or be exempt from Section 409A and, accordingly, to the maximum extent permitted, this Agreement shall be interpreted to be in compliance therewith.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 xml:space="preserve">Separation from Service. </w:t>
      </w:r>
      <w:r>
        <w:rPr>
          <w:rFonts w:ascii="Times New Roman" w:hAnsi="Times New Roman"/>
          <w:color w:val="000000"/>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hAnsi="Times New Roman"/>
          <w:color w:val="000000"/>
          <w:sz w:val="22"/>
          <w:u w:val="single"/>
        </w:rPr>
        <w:t>Separation from Service</w:t>
      </w:r>
      <w:r>
        <w:rPr>
          <w:color w:val="000000"/>
        </w:rPr>
        <w:t>”</w:t>
      </w:r>
      <w:r>
        <w:rPr>
          <w:rFonts w:ascii="Times New Roman" w:hAnsi="Times New Roman"/>
          <w:color w:val="000000"/>
          <w:sz w:val="22"/>
        </w:rPr>
        <w:t xml:space="preserve">) and, except as provided below, any such compensation or benefits described in </w:t>
      </w:r>
      <w:r>
        <w:rPr>
          <w:rFonts w:ascii="Times New Roman" w:hAnsi="Times New Roman"/>
          <w:color w:val="000000"/>
          <w:sz w:val="22"/>
          <w:u w:val="single"/>
        </w:rPr>
        <w:t xml:space="preserve">Section </w:t>
      </w:r>
      <w:r>
        <w:rPr>
          <w:rFonts w:ascii="Times New Roman" w:hAnsi="Times New Roman"/>
          <w:color w:val="000000"/>
          <w:sz w:val="22"/>
        </w:rPr>
        <w:t>shall not be paid, or, in the case of installments, shall not commence payment, until the thirtieth (30th) day following Executive’s Separation from Service (the “</w:t>
      </w:r>
      <w:r>
        <w:rPr>
          <w:rFonts w:ascii="Times New Roman" w:hAnsi="Times New Roman"/>
          <w:color w:val="000000"/>
          <w:sz w:val="22"/>
          <w:u w:val="single"/>
        </w:rPr>
        <w:t>First Payment Date</w:t>
      </w:r>
      <w:r>
        <w:rPr>
          <w:color w:val="000000"/>
        </w:rPr>
        <w:t>”</w:t>
      </w:r>
      <w:r>
        <w:rPr>
          <w:rFonts w:ascii="Times New Roman" w:hAnsi="Times New Roman"/>
          <w:color w:val="00000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Specified Employee.</w:t>
      </w:r>
      <w:r>
        <w:rPr>
          <w:color w:val="000000"/>
        </w:rPr>
        <w:t xml:space="preserve"> </w:t>
      </w:r>
      <w:r>
        <w:rPr>
          <w:rFonts w:ascii="Times New Roman" w:hAnsi="Times New Roman"/>
          <w:color w:val="000000"/>
          <w:sz w:val="22"/>
        </w:rPr>
        <w:t xml:space="preserve">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 xml:space="preserve">Expense Reimbursements. </w:t>
      </w:r>
      <w:r>
        <w:rPr>
          <w:rFonts w:ascii="Times New Roman" w:hAnsi="Times New Roman"/>
          <w:color w:val="000000"/>
          <w:sz w:val="22"/>
        </w:rPr>
        <w:t>To the extent that any reimbursements under this Agreement are subject to Section 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Installments.</w:t>
      </w:r>
      <w:r>
        <w:rPr>
          <w:color w:val="000000"/>
        </w:rPr>
        <w:t xml:space="preserve"> </w:t>
      </w:r>
      <w:r>
        <w:rPr>
          <w:rFonts w:ascii="Times New Roman" w:hAnsi="Times New Roman"/>
          <w:color w:val="000000"/>
          <w:sz w:val="22"/>
        </w:rPr>
        <w:t xml:space="preserve">Executive’s right to receive any installment payments under this Agreement, including without limitation any continuation salary payments that are payable on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2"/>
          <w:u w:val="single"/>
        </w:rPr>
        <w:t>Executive Acknowledgement</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 WITNESS WHEREOF, the Parties have executed this Agreement on the date and year first above written.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SIGHT SCIENCES, INC.</w:t>
      </w:r>
    </w:p>
    <w:p>
      <w:pPr>
        <w:pStyle w:val="TextBody"/>
        <w:bidi w:val="0"/>
        <w:jc w:val="left"/>
        <w:rPr>
          <w:rFonts w:ascii="Times New Roman" w:hAnsi="Times New Roman"/>
          <w:color w:val="000000"/>
          <w:sz w:val="22"/>
        </w:rPr>
      </w:pPr>
      <w:r>
        <w:rPr>
          <w:rFonts w:ascii="Times New Roman" w:hAnsi="Times New Roman"/>
          <w:color w:val="000000"/>
          <w:sz w:val="22"/>
        </w:rPr>
        <w:t>By:__/s/Paul Badawi______________________</w:t>
      </w:r>
    </w:p>
    <w:p>
      <w:pPr>
        <w:pStyle w:val="TextBody"/>
        <w:bidi w:val="0"/>
        <w:jc w:val="left"/>
        <w:rPr>
          <w:rFonts w:ascii="Times New Roman" w:hAnsi="Times New Roman"/>
          <w:sz w:val="20"/>
        </w:rPr>
      </w:pPr>
      <w:r>
        <w:rPr>
          <w:rFonts w:ascii="Times New Roman" w:hAnsi="Times New Roman"/>
          <w:color w:val="000000"/>
          <w:sz w:val="22"/>
        </w:rPr>
        <w:t>Name: Paul Badawi</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President and Chief Executive Officer</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EXECUTIVE</w:t>
      </w:r>
    </w:p>
    <w:p>
      <w:pPr>
        <w:pStyle w:val="TextBody"/>
        <w:bidi w:val="0"/>
        <w:jc w:val="left"/>
        <w:rPr>
          <w:rFonts w:ascii="Times New Roman" w:hAnsi="Times New Roman"/>
          <w:color w:val="000000"/>
          <w:sz w:val="22"/>
        </w:rPr>
      </w:pPr>
      <w:r>
        <w:rPr>
          <w:rFonts w:ascii="Times New Roman" w:hAnsi="Times New Roman"/>
          <w:color w:val="000000"/>
          <w:sz w:val="22"/>
        </w:rPr>
        <w:t>__/s/James Rodberg______________________</w:t>
      </w:r>
    </w:p>
    <w:p>
      <w:pPr>
        <w:pStyle w:val="TextBody"/>
        <w:bidi w:val="0"/>
        <w:jc w:val="left"/>
        <w:rPr>
          <w:rFonts w:ascii="Times New Roman" w:hAnsi="Times New Roman"/>
          <w:color w:val="000000"/>
          <w:sz w:val="22"/>
        </w:rPr>
      </w:pPr>
      <w:r>
        <w:rPr>
          <w:rFonts w:ascii="Times New Roman" w:hAnsi="Times New Roman"/>
          <w:color w:val="000000"/>
          <w:sz w:val="22"/>
        </w:rPr>
        <w:t>James Rodberg</w:t>
      </w:r>
    </w:p>
    <w:p>
      <w:pPr>
        <w:pStyle w:val="TextBody"/>
        <w:bidi w:val="0"/>
        <w:spacing w:before="0" w:after="240"/>
        <w:jc w:val="left"/>
        <w:rPr/>
      </w:pPr>
      <w:r>
        <w:rPr/>
        <w: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[Signature Page to Employment Agreement]</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 and Release</w:t>
      </w:r>
    </w:p>
    <w:p>
      <w:pPr>
        <w:pStyle w:val="TextBody"/>
        <w:bidi w:val="0"/>
        <w:spacing w:before="0" w:after="120"/>
        <w:jc w:val="both"/>
        <w:rPr>
          <w:rFonts w:ascii="Times New Roman" w:hAnsi="Times New Roman"/>
          <w:sz w:val="20"/>
        </w:rPr>
      </w:pPr>
      <w:r>
        <w:rPr>
          <w:rFonts w:ascii="Times New Roman" w:hAnsi="Times New Roman"/>
          <w:color w:val="000000"/>
          <w:sz w:val="22"/>
        </w:rPr>
        <w:t>This Separation Agreement and Release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by and between James Rodberg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and Sight Sciences,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(collectively referred to as the “Parties” or individually referred to as a “Party”). Capitalized terms used but not defined in this Agreement shall have the meanings set forth in the Employment Agreement (as defined below).</w:t>
      </w:r>
    </w:p>
    <w:p>
      <w:pPr>
        <w:pStyle w:val="TextBody"/>
        <w:bidi w:val="0"/>
        <w:spacing w:before="0" w:after="120"/>
        <w:jc w:val="both"/>
        <w:rPr>
          <w:rFonts w:ascii="Times New Roman" w:hAnsi="Times New Roman"/>
          <w:sz w:val="20"/>
        </w:rPr>
      </w:pPr>
      <w:r>
        <w:rPr>
          <w:rFonts w:ascii="Times New Roman" w:hAnsi="Times New Roman"/>
          <w:color w:val="000000"/>
          <w:sz w:val="22"/>
        </w:rPr>
        <w:t>WHEREAS, the Parties have previously entered into that certain Employment Agreement, dated as of November 5, 2025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 that certain Employee Proprietary Information and Inventions Assignment Agreement, dated as of [______, __] (the “</w:t>
      </w:r>
      <w:r>
        <w:rPr>
          <w:rFonts w:ascii="Times New Roman" w:hAnsi="Times New Roman"/>
          <w:color w:val="000000"/>
          <w:sz w:val="22"/>
          <w:u w:val="single"/>
        </w:rPr>
        <w:t>Restrictive Covenant Agreement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 w:hAnsi="Times New Roman"/>
          <w:color w:val="000000"/>
          <w:sz w:val="22"/>
          <w:u w:val="single"/>
        </w:rPr>
        <w:t>Retained Claims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Severance Payments and Benefits; Salary and Benefits</w:t>
      </w:r>
      <w:r>
        <w:rPr>
          <w:rFonts w:ascii="Times New Roman" w:hAnsi="Times New Roman"/>
          <w:color w:val="000000"/>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 w:hAnsi="Times New Roman"/>
          <w:color w:val="000000"/>
          <w:sz w:val="22"/>
          <w:u w:val="single"/>
        </w:rPr>
        <w:t>3(c)</w:t>
      </w:r>
      <w:r>
        <w:rPr>
          <w:rFonts w:ascii="Times New Roman" w:hAnsi="Times New Roman"/>
          <w:color w:val="000000"/>
          <w:sz w:val="20"/>
        </w:rPr>
        <w:t xml:space="preserve"> </w:t>
      </w:r>
      <w:r>
        <w:rPr>
          <w:rFonts w:ascii="Times New Roman" w:hAnsi="Times New Roman"/>
          <w:color w:val="000000"/>
          <w:sz w:val="22"/>
        </w:rPr>
        <w:t>of the Employment Agreement, subject to and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Release of Claims</w:t>
      </w:r>
      <w:r>
        <w:rPr>
          <w:rFonts w:ascii="Times New Roman" w:hAnsi="Times New Roman"/>
          <w:color w:val="000000"/>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color w:val="000000"/>
          <w:sz w:val="22"/>
          <w:u w:val="single"/>
        </w:rPr>
        <w:t>Releasees</w:t>
      </w:r>
      <w:r>
        <w:rPr>
          <w:rFonts w:ascii="Times New Roman" w:hAnsi="Times New Roman"/>
          <w:color w:val="000000"/>
          <w:sz w:val="20"/>
        </w:rPr>
        <w:t>”</w:t>
      </w:r>
      <w:r>
        <w:rPr>
          <w:rFonts w:ascii="Times New Roman" w:hAnsi="Times New Roman"/>
          <w:color w:val="000000"/>
          <w:sz w:val="22"/>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possess against any of the Releasees arising from any omissions, acts, facts, or damages that have occurred up until and including the date Executive signs this Agreement, including, without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and all claims relating to or arising from Executive’s employment or service relationship with the Company or any of its direct or indirect subsidiaries or affiliates and the termination of that relationship;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240"/>
        <w:jc w:val="both"/>
        <w:rPr>
          <w:rFonts w:ascii="Times New Roman" w:hAnsi="Times New Roman"/>
          <w:sz w:val="20"/>
        </w:rPr>
      </w:pPr>
      <w:r>
        <w:rPr>
          <w:rFonts w:ascii="Times New Roman" w:hAnsi="Times New Roman"/>
          <w:color w:val="000000"/>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the California Labor Code;</w:t>
      </w:r>
      <w:r>
        <w:rPr>
          <w:rFonts w:ascii="Times New Roman" w:hAnsi="Times New Roman"/>
          <w:color w:val="000000"/>
          <w:sz w:val="20"/>
        </w:rPr>
        <w:t xml:space="preserve"> </w:t>
      </w:r>
      <w:r>
        <w:rPr>
          <w:rFonts w:ascii="Times New Roman" w:hAnsi="Times New Roman"/>
          <w:color w:val="000000"/>
          <w:sz w:val="24"/>
        </w:rPr>
        <w:t>t</w:t>
      </w:r>
      <w:r>
        <w:rPr>
          <w:rFonts w:ascii="Times New Roman" w:hAnsi="Times New Roman"/>
          <w:color w:val="000000"/>
          <w:sz w:val="22"/>
        </w:rPr>
        <w:t>he Minnesota Payment of Wages Laws including but not limited to the Minnesota Equal Pay for Equal Work Law; the Minnesota Parental Leave Act; the Minnesota Whistleblower Act and the Minnesota Whistleblower Protection Laws; and all other claims allowed under Minnesota Statute Chapter 181;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and all claims for violation of the federal or any state constitution;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any and all claims arising out of any other laws and regulations relating to employment or employment discrimination;</w:t>
      </w:r>
    </w:p>
    <w:p>
      <w:pPr>
        <w:pStyle w:val="TextBody"/>
        <w:bidi w:val="0"/>
        <w:spacing w:before="0" w:after="240"/>
        <w:jc w:val="both"/>
        <w:rPr>
          <w:rFonts w:ascii="Times New Roman" w:hAnsi="Times New Roman"/>
          <w:sz w:val="20"/>
        </w:rPr>
      </w:pPr>
      <w:r>
        <w:rPr>
          <w:rFonts w:ascii="Times New Roman" w:hAnsi="Times New Roman"/>
          <w:color w:val="000000"/>
          <w:sz w:val="22"/>
        </w:rPr>
        <w:t>(g) any claim for any loss, cost, damage, or expense arising out of any dispute over the non-withholding or other tax treatment of any of the proceeds received by Executive as a result of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any and all claims arising out of the wage and hour and wage payments laws and regulations of the state or states in which Executive has provided service to the Company or any of its affiliates;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and all claims for attorneys’ fees and costs.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acknowledges that Executive has been advised of and is familiar with the provisions of California Civil Code Section 1542, which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2"/>
        </w:rPr>
        <w:t>Being aware of said code section, Executive expressly waives all rights Executive may have thereunder, as well as under any other law, including under common law principles of similar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Acknowledgment of Waiver of Claims under ADEA</w:t>
      </w:r>
      <w:r>
        <w:rPr>
          <w:rFonts w:ascii="Times New Roman" w:hAnsi="Times New Roman"/>
          <w:color w:val="000000"/>
          <w:sz w:val="22"/>
        </w:rPr>
        <w:t>. Executive understands and acknowledges that Executive is waiving and releasing any rights Executive may have under the Age Discrimination in Employment Act of 1967 (“</w:t>
      </w:r>
      <w:r>
        <w:rPr>
          <w:rFonts w:ascii="Times New Roman" w:hAnsi="Times New Roman"/>
          <w:color w:val="000000"/>
          <w:sz w:val="22"/>
          <w:u w:val="single"/>
        </w:rPr>
        <w:t>ADEA</w:t>
      </w:r>
      <w:r>
        <w:rPr>
          <w:rFonts w:ascii="Times New Roman" w:hAnsi="Times New Roman"/>
          <w:color w:val="000000"/>
          <w:sz w:val="20"/>
        </w:rPr>
        <w:t>”</w:t>
      </w:r>
      <w:r>
        <w:rPr>
          <w:rFonts w:ascii="Times New Roman" w:hAnsi="Times New Roman"/>
          <w:color w:val="000000"/>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A-3</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material or immaterial changes to this Agreement; (c) Executive has seven days following Executive’s execution of this Agreement to revoke this Agreement pursuant to written notice to the Chief Financial Officer of the Company (or if Executive is the Chief Financial Officer, then the Chief Executive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Restrictive Covenants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Executive and a duly authorized officer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Governing Law; Dispute Resolution</w:t>
      </w:r>
      <w:r>
        <w:rPr>
          <w:rFonts w:ascii="Times New Roman" w:hAnsi="Times New Roman"/>
          <w:color w:val="000000"/>
          <w:sz w:val="22"/>
        </w:rPr>
        <w:t>. This Agreement shall be subject to the provisions of Sections 9(a), 9(c), and 9(h) of the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Effective Date</w:t>
      </w:r>
      <w:r>
        <w:rPr>
          <w:rFonts w:ascii="Times New Roman" w:hAnsi="Times New Roman"/>
          <w:color w:val="000000"/>
          <w:sz w:val="22"/>
        </w:rPr>
        <w:t>. Executive has seven days after Executive signs this Agreement to revoke it and this Agreement will become effective on the eighth day following the date Executive signed this Agreement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A-4</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Voluntary Execution of Agreement</w:t>
      </w:r>
      <w:r>
        <w:rPr>
          <w:rFonts w:ascii="Times New Roman" w:hAnsi="Times New Roman"/>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A-5</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 WITNESS WHEREOF, the Parties have executed this Agreement on the respective dates set forth below.</w:t>
      </w:r>
      <w:r>
        <w:rPr>
          <w:rFonts w:ascii="Times New Roman" w:hAnsi="Times New Roman"/>
          <w:color w:val="000000"/>
          <w:sz w:val="20"/>
        </w:rPr>
        <w:t xml:space="preserve"> </w:t>
      </w:r>
    </w:p>
    <w:tbl>
      <w:tblPr>
        <w:tblW w:w="3734" w:type="dxa"/>
        <w:jc w:val="left"/>
        <w:tblInd w:w="0" w:type="dxa"/>
        <w:tblLayout w:type="fixed"/>
        <w:tblCellMar>
          <w:top w:w="28" w:type="dxa"/>
          <w:left w:w="28" w:type="dxa"/>
          <w:bottom w:w="28" w:type="dxa"/>
          <w:right w:w="28" w:type="dxa"/>
        </w:tblCellMar>
      </w:tblPr>
      <w:tblGrid>
        <w:gridCol w:w="1078"/>
        <w:gridCol w:w="2656"/>
      </w:tblGrid>
      <w:tr>
        <w:trPr/>
        <w:tc>
          <w:tcPr>
            <w:tcW w:w="1078"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EXECUTIVE</w:t>
            </w:r>
          </w:p>
        </w:tc>
      </w:tr>
      <w:tr>
        <w:trPr/>
        <w:tc>
          <w:tcPr>
            <w:tcW w:w="10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Dated: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br/>
              <w:t>James Rodberg</w:t>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1078" w:type="dxa"/>
            <w:tcBorders/>
            <w:tcMar>
              <w:top w:w="0" w:type="dxa"/>
              <w:left w:w="0" w:type="dxa"/>
              <w:bottom w:w="0" w:type="dxa"/>
              <w:right w:w="0" w:type="dxa"/>
            </w:tcMar>
            <w:vAlign w:val="center"/>
          </w:tcPr>
          <w:p>
            <w:pPr>
              <w:pStyle w:val="TableContents"/>
              <w:bidi w:val="0"/>
              <w:spacing w:before="0" w:after="240"/>
              <w:jc w:val="left"/>
              <w:rPr/>
            </w:pPr>
            <w:r>
              <w:rPr/>
              <w:t> </w:t>
            </w:r>
          </w:p>
        </w:tc>
        <w:tc>
          <w:tcPr>
            <w:tcW w:w="26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SIGHT SCIENCES, INC.</w:t>
            </w:r>
          </w:p>
        </w:tc>
      </w:tr>
      <w:tr>
        <w:trPr/>
        <w:tc>
          <w:tcPr>
            <w:tcW w:w="1078" w:type="dxa"/>
            <w:tcBorders/>
            <w:tcMar>
              <w:top w:w="0" w:type="dxa"/>
              <w:left w:w="0" w:type="dxa"/>
              <w:bottom w:w="0" w:type="dxa"/>
              <w:right w:w="0" w:type="dxa"/>
            </w:tcMar>
            <w:vAlign w:val="center"/>
          </w:tcPr>
          <w:p>
            <w:pPr>
              <w:pStyle w:val="TableContents"/>
              <w:bidi w:val="0"/>
              <w:spacing w:before="0" w:after="240"/>
              <w:ind w:left="0" w:right="0" w:firstLine="342"/>
              <w:jc w:val="left"/>
              <w:rPr>
                <w:rFonts w:ascii="Times New Roman" w:hAnsi="Times New Roman"/>
                <w:color w:val="000000"/>
                <w:sz w:val="22"/>
              </w:rPr>
            </w:pPr>
            <w:r>
              <w:rPr>
                <w:rFonts w:ascii="Times New Roman" w:hAnsi="Times New Roman"/>
                <w:color w:val="000000"/>
                <w:sz w:val="22"/>
              </w:rPr>
              <w:t>Dated:</w:t>
            </w:r>
          </w:p>
        </w:tc>
        <w:tc>
          <w:tcPr>
            <w:tcW w:w="2656" w:type="dxa"/>
            <w:tcBorders/>
            <w:tcMar>
              <w:top w:w="0" w:type="dxa"/>
              <w:left w:w="0" w:type="dxa"/>
              <w:bottom w:w="0" w:type="dxa"/>
              <w:right w:w="0" w:type="dxa"/>
            </w:tcMar>
            <w:vAlign w:val="center"/>
          </w:tcPr>
          <w:p>
            <w:pPr>
              <w:pStyle w:val="TableContents"/>
              <w:bidi w:val="0"/>
              <w:spacing w:before="0" w:after="240"/>
              <w:ind w:left="0" w:right="0" w:firstLine="342"/>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br/>
            </w:r>
            <w:r>
              <w:rPr>
                <w:rFonts w:ascii="Times New Roman" w:hAnsi="Times New Roman"/>
                <w:color w:val="000000"/>
                <w:sz w:val="22"/>
              </w:rPr>
              <w:t>Name:</w:t>
              <w:br/>
              <w:t xml:space="preserve">Title: </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A-6</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bookmarkStart w:id="40" w:name="sght-ex10_15.htm"/>
      <w:bookmarkStart w:id="41" w:name="kssghtex10_15"/>
      <w:bookmarkEnd w:id="40"/>
      <w:bookmarkEnd w:id="41"/>
      <w:r>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sz w:val="20"/>
        </w:rPr>
      </w:pPr>
      <w:r>
        <w:rPr>
          <w:rFonts w:ascii="Times New Roman" w:hAnsi="Times New Roman"/>
          <w:b/>
          <w:color w:val="000000"/>
          <w:sz w:val="22"/>
        </w:rPr>
        <w:t>Exhibit 10.15</w:t>
      </w:r>
      <w:r>
        <w:rPr>
          <w:rFonts w:ascii="Times New Roman" w:hAnsi="Times New Roman"/>
          <w:color w:val="000000"/>
          <w:sz w:val="20"/>
        </w:rPr>
        <w:t xml:space="preserve"> </w:t>
      </w:r>
    </w:p>
    <w:p>
      <w:pPr>
        <w:pStyle w:val="TextBody"/>
        <w:bidi w:val="0"/>
        <w:jc w:val="right"/>
        <w:rPr/>
      </w:pPr>
      <w:r>
        <w:rPr/>
        <w:t> </w:t>
      </w:r>
    </w:p>
    <w:p>
      <w:pPr>
        <w:pStyle w:val="Heading1"/>
        <w:bidi w:val="0"/>
        <w:spacing w:before="79" w:after="283"/>
        <w:jc w:val="left"/>
        <w:rPr>
          <w:rFonts w:ascii="Times New Roman" w:hAnsi="Times New Roman"/>
          <w:color w:val="000000"/>
          <w:sz w:val="24"/>
        </w:rPr>
      </w:pPr>
      <w:r>
        <w:rPr>
          <w:rFonts w:ascii="Times New Roman" w:hAnsi="Times New Roman"/>
          <w:color w:val="000000"/>
          <w:sz w:val="24"/>
        </w:rPr>
        <w:t>SECOND AMENDMENT TO MULTI-TENANT SPACE LEASE</w:t>
      </w:r>
    </w:p>
    <w:p>
      <w:pPr>
        <w:pStyle w:val="TextBody"/>
        <w:bidi w:val="0"/>
        <w:spacing w:before="240" w:after="283"/>
        <w:jc w:val="both"/>
        <w:rPr>
          <w:rFonts w:ascii="Times New Roman" w:hAnsi="Times New Roman"/>
          <w:sz w:val="20"/>
        </w:rPr>
      </w:pPr>
      <w:r>
        <w:rPr>
          <w:rFonts w:ascii="Times New Roman" w:hAnsi="Times New Roman"/>
          <w:color w:val="000000"/>
          <w:sz w:val="24"/>
        </w:rPr>
        <w:t>This Second Amendment To Multi-Tenant Space Lease (this "</w:t>
      </w:r>
      <w:r>
        <w:rPr>
          <w:rFonts w:ascii="Times New Roman" w:hAnsi="Times New Roman"/>
          <w:b/>
          <w:color w:val="000000"/>
          <w:sz w:val="24"/>
        </w:rPr>
        <w:t>Second Amendment</w:t>
      </w:r>
      <w:r>
        <w:rPr>
          <w:rFonts w:ascii="Times New Roman" w:hAnsi="Times New Roman"/>
          <w:color w:val="000000"/>
          <w:sz w:val="24"/>
        </w:rPr>
        <w:t>"), dated as of January 29, 2026 (the “</w:t>
      </w:r>
      <w:r>
        <w:rPr>
          <w:rFonts w:ascii="Times New Roman" w:hAnsi="Times New Roman"/>
          <w:b/>
          <w:color w:val="000000"/>
          <w:sz w:val="24"/>
        </w:rPr>
        <w:t>Reference Date</w:t>
      </w:r>
      <w:r>
        <w:rPr>
          <w:rFonts w:ascii="Times New Roman" w:hAnsi="Times New Roman"/>
          <w:color w:val="000000"/>
          <w:sz w:val="20"/>
        </w:rPr>
        <w:t>”</w:t>
      </w:r>
      <w:r>
        <w:rPr>
          <w:rFonts w:ascii="Times New Roman" w:hAnsi="Times New Roman"/>
          <w:color w:val="000000"/>
          <w:sz w:val="24"/>
        </w:rPr>
        <w:t>), is made and entered into by and between Deerfield Campbell LLC, a California limited liability company ("</w:t>
      </w:r>
      <w:r>
        <w:rPr>
          <w:rFonts w:ascii="Times New Roman" w:hAnsi="Times New Roman"/>
          <w:b/>
          <w:color w:val="000000"/>
          <w:sz w:val="24"/>
        </w:rPr>
        <w:t>Landlord</w:t>
      </w:r>
      <w:r>
        <w:rPr>
          <w:rFonts w:ascii="Times New Roman" w:hAnsi="Times New Roman"/>
          <w:color w:val="000000"/>
          <w:sz w:val="24"/>
        </w:rPr>
        <w:t>"), and Sight Sciences, Inc., a Delaware corporation ("</w:t>
      </w:r>
      <w:r>
        <w:rPr>
          <w:rFonts w:ascii="Times New Roman" w:hAnsi="Times New Roman"/>
          <w:b/>
          <w:color w:val="000000"/>
          <w:sz w:val="24"/>
        </w:rPr>
        <w:t>Tenant</w:t>
      </w:r>
      <w:r>
        <w:rPr>
          <w:rFonts w:ascii="Times New Roman" w:hAnsi="Times New Roman"/>
          <w:color w:val="000000"/>
          <w:sz w:val="24"/>
        </w:rPr>
        <w:t>"), with reference to those matters set forth hereinafter.</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1" w:after="283"/>
        <w:jc w:val="both"/>
        <w:rPr/>
      </w:pPr>
      <w:r>
        <w:rPr>
          <w:rFonts w:ascii="Times New Roman" w:hAnsi="Times New Roman"/>
          <w:b/>
          <w:color w:val="000000"/>
          <w:sz w:val="24"/>
        </w:rPr>
        <w:t>WHEREAS</w:t>
      </w:r>
      <w:r>
        <w:rPr>
          <w:rFonts w:ascii="Times New Roman" w:hAnsi="Times New Roman"/>
          <w:color w:val="000000"/>
          <w:sz w:val="24"/>
        </w:rPr>
        <w:t>, Landlord and Tenant are parties to that certain Multi-Tenant Space Lease dated as of February 5, 2021 (the “</w:t>
      </w:r>
      <w:r>
        <w:rPr>
          <w:rFonts w:ascii="Times New Roman" w:hAnsi="Times New Roman"/>
          <w:b/>
          <w:color w:val="000000"/>
          <w:sz w:val="24"/>
        </w:rPr>
        <w:t>Original Lease</w:t>
      </w:r>
      <w:r>
        <w:rPr>
          <w:color w:val="000000"/>
        </w:rPr>
        <w:t>”</w:t>
      </w:r>
      <w:r>
        <w:rPr>
          <w:rFonts w:ascii="Times New Roman" w:hAnsi="Times New Roman"/>
          <w:color w:val="000000"/>
          <w:sz w:val="24"/>
        </w:rPr>
        <w:t>), for that certain premises containing approximately 10,823 square feet of gross leasable area located on the first floor (Suites 100 and 120) of that portion of the Building commonly known as 4040 Campbell Avenue, City of Menlo Park, County of San Mateo, State of California (the “</w:t>
      </w:r>
      <w:r>
        <w:rPr>
          <w:rFonts w:ascii="Times New Roman" w:hAnsi="Times New Roman"/>
          <w:b/>
          <w:color w:val="000000"/>
          <w:sz w:val="24"/>
        </w:rPr>
        <w:t>Premises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b/>
          <w:color w:val="000000"/>
          <w:sz w:val="24"/>
        </w:rPr>
        <w:t>WHEREAS</w:t>
      </w:r>
      <w:r>
        <w:rPr>
          <w:rFonts w:ascii="Times New Roman" w:hAnsi="Times New Roman"/>
          <w:color w:val="000000"/>
          <w:sz w:val="24"/>
        </w:rPr>
        <w:t>, Landlord and Tenant are also parties to that certain Commencement Date/Acceptance Agreement dated as of August 1, 2021 (the “</w:t>
      </w:r>
      <w:r>
        <w:rPr>
          <w:rFonts w:ascii="Times New Roman" w:hAnsi="Times New Roman"/>
          <w:b/>
          <w:color w:val="000000"/>
          <w:sz w:val="24"/>
        </w:rPr>
        <w:t>Commencement Date Agreement</w:t>
      </w:r>
      <w:r>
        <w:rPr>
          <w:color w:val="000000"/>
        </w:rPr>
        <w:t>”</w:t>
      </w:r>
      <w:r>
        <w:rPr>
          <w:rFonts w:ascii="Times New Roman" w:hAnsi="Times New Roman"/>
          <w:color w:val="000000"/>
          <w:sz w:val="24"/>
        </w:rPr>
        <w:t>).</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1" w:after="283"/>
        <w:jc w:val="both"/>
        <w:rPr/>
      </w:pPr>
      <w:r>
        <w:rPr>
          <w:rFonts w:ascii="Times New Roman" w:hAnsi="Times New Roman"/>
          <w:b/>
          <w:color w:val="000000"/>
          <w:sz w:val="24"/>
        </w:rPr>
        <w:t>WHEREAS</w:t>
      </w:r>
      <w:r>
        <w:rPr>
          <w:rFonts w:ascii="Times New Roman" w:hAnsi="Times New Roman"/>
          <w:color w:val="000000"/>
          <w:sz w:val="24"/>
        </w:rPr>
        <w:t>, Landlord and Tenant are also parties to that certain First Amendment to Multi-Tenant Space Lease dated as of December 6, 2023 (“</w:t>
      </w:r>
      <w:r>
        <w:rPr>
          <w:rFonts w:ascii="Times New Roman" w:hAnsi="Times New Roman"/>
          <w:b/>
          <w:color w:val="000000"/>
          <w:sz w:val="24"/>
        </w:rPr>
        <w:t>First Amendment</w:t>
      </w:r>
      <w:r>
        <w:rPr>
          <w:color w:val="000000"/>
        </w:rPr>
        <w:t>”</w:t>
      </w:r>
      <w:r>
        <w:rPr>
          <w:rFonts w:ascii="Times New Roman" w:hAnsi="Times New Roman"/>
          <w:color w:val="000000"/>
          <w:sz w:val="24"/>
        </w:rPr>
        <w:t>). The Original Lease, Commencement Date Agreement and First Amendment are collectively referred to herein as the “</w:t>
      </w:r>
      <w:r>
        <w:rPr>
          <w:rFonts w:ascii="Times New Roman" w:hAnsi="Times New Roman"/>
          <w:b/>
          <w:color w:val="000000"/>
          <w:sz w:val="24"/>
        </w:rPr>
        <w:t>Existing Lease</w:t>
      </w:r>
      <w:r>
        <w:rPr>
          <w:color w:val="000000"/>
        </w:rPr>
        <w:t>”</w:t>
      </w:r>
      <w:r>
        <w:rPr>
          <w:rFonts w:ascii="Times New Roman" w:hAnsi="Times New Roman"/>
          <w:color w:val="000000"/>
          <w:sz w:val="24"/>
        </w:rPr>
        <w:t>, the term “</w:t>
      </w:r>
      <w:r>
        <w:rPr>
          <w:rFonts w:ascii="Times New Roman" w:hAnsi="Times New Roman"/>
          <w:b/>
          <w:color w:val="000000"/>
          <w:sz w:val="24"/>
        </w:rPr>
        <w:t>Lease</w:t>
      </w:r>
      <w:r>
        <w:rPr>
          <w:color w:val="000000"/>
        </w:rPr>
        <w:t xml:space="preserve">” </w:t>
      </w:r>
      <w:r>
        <w:rPr>
          <w:rFonts w:ascii="Times New Roman" w:hAnsi="Times New Roman"/>
          <w:color w:val="000000"/>
          <w:sz w:val="24"/>
        </w:rPr>
        <w:t>means the Existing Lease, as amended by this Second Amendment.</w:t>
      </w:r>
    </w:p>
    <w:p>
      <w:pPr>
        <w:pStyle w:val="TextBody"/>
        <w:bidi w:val="0"/>
        <w:spacing w:before="240" w:after="283"/>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4"/>
        </w:rPr>
        <w:t xml:space="preserve">. </w:t>
      </w:r>
      <w:r>
        <w:rPr>
          <w:rFonts w:ascii="Times New Roman" w:hAnsi="Times New Roman"/>
          <w:b/>
          <w:color w:val="000000"/>
          <w:sz w:val="24"/>
        </w:rPr>
        <w:t>WHEREAS</w:t>
      </w:r>
      <w:r>
        <w:rPr>
          <w:rFonts w:ascii="Times New Roman" w:hAnsi="Times New Roman"/>
          <w:color w:val="000000"/>
          <w:sz w:val="24"/>
        </w:rPr>
        <w:t>, Landlord and Tenant now desire to amend the Existing Lease to provide for, among other things, an extension of the Lease Term as more particularly set forth herein. Any capitalized term used herein in the Second Amendment without definition shall have the same meaning as given to such term in the Original Lease.</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240" w:after="283"/>
        <w:jc w:val="left"/>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recitals, mutual covenants and agreements set forth herein, Landlord and Tenant do hereby agree as follows: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pPr>
      <w:r>
        <w:rPr>
          <w:rFonts w:ascii="Times New Roman" w:hAnsi="Times New Roman"/>
          <w:b/>
          <w:color w:val="000000"/>
          <w:sz w:val="24"/>
          <w:u w:val="single"/>
        </w:rPr>
        <w:t>Incorporation of Recitals</w:t>
      </w:r>
      <w:r>
        <w:rPr>
          <w:rFonts w:ascii="Times New Roman" w:hAnsi="Times New Roman"/>
          <w:color w:val="000000"/>
          <w:sz w:val="24"/>
        </w:rPr>
        <w:t>. The foregoing recitals are hereby incorporated by reference in this Second Amendment to Lease.</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1" w:after="283"/>
        <w:jc w:val="both"/>
        <w:rPr/>
      </w:pPr>
      <w:r>
        <w:rPr>
          <w:rFonts w:ascii="Times New Roman" w:hAnsi="Times New Roman"/>
          <w:b/>
          <w:color w:val="000000"/>
          <w:sz w:val="24"/>
          <w:u w:val="single"/>
        </w:rPr>
        <w:t>Lease Term</w:t>
      </w:r>
      <w:r>
        <w:rPr>
          <w:rFonts w:ascii="Times New Roman" w:hAnsi="Times New Roman"/>
          <w:color w:val="000000"/>
          <w:sz w:val="24"/>
        </w:rPr>
        <w:t>. Landlord and Tenant hereby agree that the Lease Term be extended for a period of twenty-six (26) months commencing on November 1, 2026 (“</w:t>
      </w:r>
      <w:r>
        <w:rPr>
          <w:rFonts w:ascii="Times New Roman" w:hAnsi="Times New Roman"/>
          <w:b/>
          <w:color w:val="000000"/>
          <w:sz w:val="24"/>
        </w:rPr>
        <w:t>Lease Extension Commencement Date</w:t>
      </w:r>
      <w:r>
        <w:rPr>
          <w:color w:val="000000"/>
        </w:rPr>
        <w:t>”</w:t>
      </w:r>
      <w:r>
        <w:rPr>
          <w:rFonts w:ascii="Times New Roman" w:hAnsi="Times New Roman"/>
          <w:color w:val="000000"/>
          <w:sz w:val="24"/>
        </w:rPr>
        <w:t>) and expiring on December 31, 2028 (“</w:t>
      </w:r>
      <w:r>
        <w:rPr>
          <w:rFonts w:ascii="Times New Roman" w:hAnsi="Times New Roman"/>
          <w:b/>
          <w:color w:val="000000"/>
          <w:sz w:val="24"/>
        </w:rPr>
        <w:t>Lease Expiration Date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u w:val="single"/>
        </w:rPr>
        <w:t>Use</w:t>
      </w:r>
      <w:r>
        <w:rPr>
          <w:rFonts w:ascii="Times New Roman" w:hAnsi="Times New Roman"/>
          <w:color w:val="000000"/>
          <w:sz w:val="24"/>
        </w:rPr>
        <w:t>. Landlord and Tenant hereby agree that the Permitted Use of the Premises during the Lease extension period shall remain as stated in section 1.9 of the Original Lease.</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79" w:after="283"/>
        <w:jc w:val="left"/>
        <w:rPr/>
      </w:pPr>
      <w:r>
        <w:rPr>
          <w:rFonts w:ascii="Times New Roman" w:hAnsi="Times New Roman"/>
          <w:b/>
          <w:color w:val="000000"/>
          <w:sz w:val="24"/>
          <w:u w:val="single"/>
        </w:rPr>
        <w:t>Base Monthly Rent</w:t>
      </w:r>
      <w:r>
        <w:rPr>
          <w:rFonts w:ascii="Times New Roman" w:hAnsi="Times New Roman"/>
          <w:color w:val="000000"/>
          <w:sz w:val="24"/>
        </w:rPr>
        <w:t>. Landlord and Tenant agree that Base Monthly Rent for the twenty-six (26) month extension period shall be,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Heading2"/>
        <w:bidi w:val="0"/>
        <w:jc w:val="center"/>
        <w:rPr>
          <w:rFonts w:ascii="Times New Roman" w:hAnsi="Times New Roman"/>
          <w:sz w:val="20"/>
        </w:rPr>
      </w:pPr>
      <w:r>
        <w:rPr>
          <w:rFonts w:ascii="Times New Roman" w:hAnsi="Times New Roman"/>
          <w:color w:val="000000"/>
          <w:sz w:val="24"/>
          <w:u w:val="single"/>
        </w:rPr>
        <w:t>Period</w:t>
      </w:r>
      <w:r>
        <w:rPr>
          <w:rFonts w:ascii="Times New Roman" w:hAnsi="Times New Roman"/>
          <w:color w:val="000000"/>
          <w:sz w:val="20"/>
        </w:rPr>
        <w:t xml:space="preserve"> </w:t>
      </w:r>
      <w:r>
        <w:rPr>
          <w:rFonts w:ascii="Times New Roman" w:hAnsi="Times New Roman"/>
          <w:color w:val="000000"/>
          <w:sz w:val="24"/>
          <w:u w:val="single"/>
        </w:rPr>
        <w:t>Base Monthly Rent Amount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November 1, 2026 through December 31, 2026 -0- abated during this period</w:t>
      </w:r>
    </w:p>
    <w:p>
      <w:pPr>
        <w:pStyle w:val="TextBody"/>
        <w:bidi w:val="0"/>
        <w:jc w:val="left"/>
        <w:rPr>
          <w:rFonts w:ascii="Times New Roman" w:hAnsi="Times New Roman"/>
          <w:color w:val="000000"/>
          <w:sz w:val="24"/>
        </w:rPr>
      </w:pPr>
      <w:r>
        <w:rPr>
          <w:rFonts w:ascii="Times New Roman" w:hAnsi="Times New Roman"/>
          <w:color w:val="000000"/>
          <w:sz w:val="24"/>
        </w:rPr>
        <w:t>January 1, 2027 through October 31, 2027 $44,915.45</w:t>
      </w:r>
    </w:p>
    <w:p>
      <w:pPr>
        <w:pStyle w:val="TextBody"/>
        <w:bidi w:val="0"/>
        <w:jc w:val="left"/>
        <w:rPr>
          <w:rFonts w:ascii="Times New Roman" w:hAnsi="Times New Roman"/>
          <w:color w:val="000000"/>
          <w:sz w:val="24"/>
        </w:rPr>
      </w:pPr>
      <w:r>
        <w:rPr>
          <w:rFonts w:ascii="Times New Roman" w:hAnsi="Times New Roman"/>
          <w:color w:val="000000"/>
          <w:sz w:val="24"/>
        </w:rPr>
        <w:t>November 1, 2027 through October 31, 2028 $46,214.21</w:t>
      </w:r>
    </w:p>
    <w:p>
      <w:pPr>
        <w:pStyle w:val="TextBody"/>
        <w:bidi w:val="0"/>
        <w:jc w:val="left"/>
        <w:rPr>
          <w:rFonts w:ascii="Times New Roman" w:hAnsi="Times New Roman"/>
          <w:color w:val="000000"/>
          <w:sz w:val="24"/>
        </w:rPr>
      </w:pPr>
      <w:r>
        <w:rPr>
          <w:rFonts w:ascii="Times New Roman" w:hAnsi="Times New Roman"/>
          <w:color w:val="000000"/>
          <w:sz w:val="24"/>
        </w:rPr>
        <w:t>November 1, 2028 through December 31, 2028 $47,621.20</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0"/>
        <w:jc w:val="both"/>
        <w:rPr/>
      </w:pPr>
      <w:r>
        <w:rPr>
          <w:rFonts w:ascii="Times New Roman" w:hAnsi="Times New Roman"/>
          <w:b/>
          <w:color w:val="000000"/>
          <w:sz w:val="24"/>
          <w:u w:val="single"/>
        </w:rPr>
        <w:t>Additional Rent</w:t>
      </w:r>
      <w:r>
        <w:rPr>
          <w:rFonts w:ascii="Times New Roman" w:hAnsi="Times New Roman"/>
          <w:color w:val="000000"/>
          <w:sz w:val="24"/>
        </w:rPr>
        <w:t>. Landlord and Tenant hereby agree that Additional Rent shall be due and payable for all twenty-six (26) months of the extension period.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pPr>
      <w:r>
        <w:rPr>
          <w:rFonts w:ascii="Times New Roman" w:hAnsi="Times New Roman"/>
          <w:b/>
          <w:color w:val="000000"/>
          <w:sz w:val="24"/>
          <w:u w:val="single"/>
        </w:rPr>
        <w:t>Operating Expenses</w:t>
      </w:r>
      <w:r>
        <w:rPr>
          <w:rFonts w:ascii="Times New Roman" w:hAnsi="Times New Roman"/>
          <w:color w:val="000000"/>
          <w:sz w:val="24"/>
        </w:rPr>
        <w:t>. Landlord and Tenant hereby agree that Common Operating Expenses language, as set forth in section 6.4.1 of the Original Lease, shall remain the same during the extension period.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pPr>
      <w:r>
        <w:rPr>
          <w:rFonts w:ascii="Times New Roman" w:hAnsi="Times New Roman"/>
          <w:b/>
          <w:color w:val="000000"/>
          <w:sz w:val="24"/>
          <w:u w:val="single"/>
        </w:rPr>
        <w:t>Tenant Improvement Allowance</w:t>
      </w:r>
      <w:r>
        <w:rPr>
          <w:rFonts w:ascii="Times New Roman" w:hAnsi="Times New Roman"/>
          <w:color w:val="000000"/>
          <w:sz w:val="24"/>
        </w:rPr>
        <w:t>. Landlord and Tenant agree there shall be no Tenant Improvement Allowance provided by Landlord for use by Tenant during the extension period.</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1" w:after="283"/>
        <w:jc w:val="both"/>
        <w:rPr/>
      </w:pPr>
      <w:r>
        <w:rPr>
          <w:rFonts w:ascii="Times New Roman" w:hAnsi="Times New Roman"/>
          <w:b/>
          <w:color w:val="000000"/>
          <w:sz w:val="24"/>
          <w:u w:val="single"/>
        </w:rPr>
        <w:t>Security Deposit</w:t>
      </w:r>
      <w:r>
        <w:rPr>
          <w:rFonts w:ascii="Times New Roman" w:hAnsi="Times New Roman"/>
          <w:color w:val="000000"/>
          <w:sz w:val="24"/>
        </w:rPr>
        <w:t>. It is agreed that Landlord shall retain the sum of Seventy-Two Thousand Three Hundred Fifty-Eight Dollars and 44/100 ($72,358.44) of the original Security Deposit for the duration of the Lease Term.</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9.</w:t>
      </w:r>
    </w:p>
    <w:p>
      <w:pPr>
        <w:pStyle w:val="TextBody"/>
        <w:bidi w:val="0"/>
        <w:jc w:val="both"/>
        <w:rPr/>
      </w:pPr>
      <w:r>
        <w:rPr>
          <w:rFonts w:ascii="Times New Roman" w:hAnsi="Times New Roman"/>
          <w:b/>
          <w:color w:val="000000"/>
          <w:sz w:val="24"/>
          <w:u w:val="single"/>
        </w:rPr>
        <w:t>Assignment/Subletting</w:t>
      </w:r>
      <w:r>
        <w:rPr>
          <w:rFonts w:ascii="Times New Roman" w:hAnsi="Times New Roman"/>
          <w:color w:val="000000"/>
          <w:sz w:val="24"/>
        </w:rPr>
        <w:t>. Landlord and Tenant hereby agree that the provisions of section 14 of the Original Lease shall remain unchanged and are herein reinstated.</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pPr>
      <w:r>
        <w:rPr>
          <w:rFonts w:ascii="Times New Roman" w:hAnsi="Times New Roman"/>
          <w:b/>
          <w:color w:val="000000"/>
          <w:sz w:val="24"/>
          <w:u w:val="single"/>
        </w:rPr>
        <w:t>Parking</w:t>
      </w:r>
      <w:r>
        <w:rPr>
          <w:rFonts w:ascii="Times New Roman" w:hAnsi="Times New Roman"/>
          <w:color w:val="000000"/>
          <w:sz w:val="24"/>
        </w:rPr>
        <w:t>. Landlord and Tenant hereby agree that Parking, as set forth in the Original Lease, shall remain in place during the extension period.</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w:t>
      </w:r>
    </w:p>
    <w:p>
      <w:pPr>
        <w:pStyle w:val="TextBody"/>
        <w:bidi w:val="0"/>
        <w:jc w:val="both"/>
        <w:rPr/>
      </w:pPr>
      <w:r>
        <w:rPr>
          <w:rFonts w:ascii="Times New Roman" w:hAnsi="Times New Roman"/>
          <w:b/>
          <w:color w:val="000000"/>
          <w:sz w:val="24"/>
          <w:u w:val="single"/>
        </w:rPr>
        <w:t>Consents</w:t>
      </w:r>
      <w:r>
        <w:rPr>
          <w:rFonts w:ascii="Times New Roman" w:hAnsi="Times New Roman"/>
          <w:color w:val="000000"/>
          <w:sz w:val="24"/>
        </w:rPr>
        <w:t>. Landlord hereby represents and warrants to Tenant that all consents required, if any, from lenders, mortgagees, and ground lessors, and any other holders of liens or encumbrances on, against, or affecting the Leased Premises and/or the real property on which the Leased Premises are located, have been obtained for execution and performance of this Second Amendment. Landlord agrees to indemnify, defend and hold Tenant harmless from and against any liability, claim, loss, cost, damage or expense arising from or based upon Landlord’s failure to obtain all such required consents.</w:t>
      </w:r>
    </w:p>
    <w:p>
      <w:pPr>
        <w:pStyle w:val="TextBody"/>
        <w:bidi w:val="0"/>
        <w:jc w:val="left"/>
        <w:rPr/>
      </w:pPr>
      <w:r>
        <w:rPr/>
        <w:t> </w:t>
      </w:r>
    </w:p>
    <w:p>
      <w:pPr>
        <w:pStyle w:val="TextBody"/>
        <w:bidi w:val="0"/>
        <w:spacing w:before="1"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1" w:after="283"/>
        <w:jc w:val="both"/>
        <w:rPr/>
      </w:pPr>
      <w:r>
        <w:rPr>
          <w:rFonts w:ascii="Times New Roman" w:hAnsi="Times New Roman"/>
          <w:b/>
          <w:color w:val="000000"/>
          <w:sz w:val="24"/>
          <w:u w:val="single"/>
        </w:rPr>
        <w:t>Advice of Counsel</w:t>
      </w:r>
      <w:r>
        <w:rPr>
          <w:rFonts w:ascii="Times New Roman" w:hAnsi="Times New Roman"/>
          <w:color w:val="000000"/>
          <w:sz w:val="24"/>
        </w:rPr>
        <w:t>. Landlord and Tenant each warrants and represents that it has had ample opportunity to perform independent investigation and to seek and obtain legal representation including, but not limited to, express legal advice with regard to the negotiations which have led to the preparation and signing this Second Amendment. Each party further warrants and represents that it has completed as much independent investigation and obtained as much legal counsel as it determines, in its sole discretion, to be sufficient under the particular circumstances of this Second Amendment or, in the alternative, that it has elected not to do so, notwithstanding the fact that it could have done so. Further, each party warrants and represents that its execution</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of this Second Amendment is done knowingly and willfully, and without any mistake, fraud, duress or undue influence.</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13.</w:t>
      </w:r>
    </w:p>
    <w:p>
      <w:pPr>
        <w:pStyle w:val="TextBody"/>
        <w:bidi w:val="0"/>
        <w:jc w:val="both"/>
        <w:rPr/>
      </w:pPr>
      <w:r>
        <w:rPr>
          <w:rFonts w:ascii="Times New Roman" w:hAnsi="Times New Roman"/>
          <w:b/>
          <w:color w:val="000000"/>
          <w:sz w:val="24"/>
          <w:u w:val="single"/>
        </w:rPr>
        <w:t>Authority of Parties</w:t>
      </w:r>
      <w:r>
        <w:rPr>
          <w:rFonts w:ascii="Times New Roman" w:hAnsi="Times New Roman"/>
          <w:color w:val="000000"/>
          <w:sz w:val="24"/>
        </w:rPr>
        <w:t>. Each party warrants and represents that in executing this Second Amendment, it (i) has the full and unrestricted right, power, capacity and authority to enter into, deliver, execute and perform its obligations under this Second Amendment; and</w:t>
      </w:r>
    </w:p>
    <w:p>
      <w:pPr>
        <w:pStyle w:val="TextBody"/>
        <w:bidi w:val="0"/>
        <w:jc w:val="both"/>
        <w:rPr>
          <w:rFonts w:ascii="Times New Roman" w:hAnsi="Times New Roman"/>
          <w:color w:val="000000"/>
          <w:sz w:val="24"/>
        </w:rPr>
      </w:pPr>
      <w:r>
        <w:rPr>
          <w:rFonts w:ascii="Times New Roman" w:hAnsi="Times New Roman"/>
          <w:color w:val="000000"/>
          <w:sz w:val="24"/>
        </w:rPr>
        <w:t>(ii) no further consent or approval is required to permit such party to enter into, execute, deliver and perform its obligations hereunder; and (iii) that this Second Amendment is a valid and binding obligation upon each party, and is enforceable against each party in accordance with the terms hereof; and (iv) the execution, delivery and/or performance of the terms of this Second Amendment will not result in any violation of, be in conflict with, nor constitute a default under any provision of any judgment, decree, order, law or contract to which either party is bound or otherwise accountable.</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14.</w:t>
      </w:r>
    </w:p>
    <w:p>
      <w:pPr>
        <w:pStyle w:val="TextBody"/>
        <w:bidi w:val="0"/>
        <w:jc w:val="both"/>
        <w:rPr/>
      </w:pPr>
      <w:r>
        <w:rPr>
          <w:rFonts w:ascii="Times New Roman" w:hAnsi="Times New Roman"/>
          <w:b/>
          <w:color w:val="000000"/>
          <w:sz w:val="24"/>
          <w:u w:val="single"/>
        </w:rPr>
        <w:t>Further Acts/Cooperation of Parties</w:t>
      </w:r>
      <w:r>
        <w:rPr>
          <w:rFonts w:ascii="Times New Roman" w:hAnsi="Times New Roman"/>
          <w:color w:val="000000"/>
          <w:sz w:val="24"/>
          <w:u w:val="single"/>
        </w:rPr>
        <w:t>.</w:t>
      </w:r>
      <w:r>
        <w:rPr>
          <w:color w:val="000000"/>
        </w:rPr>
        <w:t xml:space="preserve"> </w:t>
      </w:r>
      <w:r>
        <w:rPr>
          <w:rFonts w:ascii="Times New Roman" w:hAnsi="Times New Roman"/>
          <w:color w:val="000000"/>
          <w:sz w:val="24"/>
        </w:rPr>
        <w:t>Without further consideration, each party shall execute and deliver such other documents, and perform such further acts, as are reasonably requested by any other party or which may be necessary or convenient to effect the terms/purposes of this Second Amendment and act cooperatively and reasonably in all matters related hereto.</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15.</w:t>
      </w:r>
    </w:p>
    <w:p>
      <w:pPr>
        <w:pStyle w:val="TextBody"/>
        <w:bidi w:val="0"/>
        <w:jc w:val="both"/>
        <w:rPr/>
      </w:pPr>
      <w:r>
        <w:rPr>
          <w:rFonts w:ascii="Times New Roman" w:hAnsi="Times New Roman"/>
          <w:b/>
          <w:color w:val="000000"/>
          <w:sz w:val="24"/>
          <w:u w:val="single"/>
        </w:rPr>
        <w:t>Binding Upon Successors and Assigns</w:t>
      </w:r>
      <w:r>
        <w:rPr>
          <w:rFonts w:ascii="Times New Roman" w:hAnsi="Times New Roman"/>
          <w:color w:val="000000"/>
          <w:sz w:val="24"/>
        </w:rPr>
        <w:t>. This Second Amendment, and each provision hereof, shall be binding upon and inure to the benefit of each party and each party's respective successors, heirs, executors, representatives, beneficiaries and permitted assigns.</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16.</w:t>
      </w:r>
    </w:p>
    <w:p>
      <w:pPr>
        <w:pStyle w:val="TextBody"/>
        <w:bidi w:val="0"/>
        <w:jc w:val="both"/>
        <w:rPr/>
      </w:pPr>
      <w:r>
        <w:rPr>
          <w:rFonts w:ascii="Times New Roman" w:hAnsi="Times New Roman"/>
          <w:b/>
          <w:color w:val="000000"/>
          <w:sz w:val="24"/>
          <w:u w:val="single"/>
        </w:rPr>
        <w:t>Litigation and Attorney's Fees</w:t>
      </w:r>
      <w:r>
        <w:rPr>
          <w:rFonts w:ascii="Times New Roman" w:hAnsi="Times New Roman"/>
          <w:color w:val="000000"/>
          <w:sz w:val="24"/>
        </w:rPr>
        <w:t>. Cumulative and in addition to any other relief sought and/or obtained, the prevailing party (or its authorized successors or assigns) in any litigation arising out of, or in relation to, the formation, enforcement or interpretation of this Second Amendment shall be entitled to recover from and against the non-prevailing party, all of the prevailing party's reasonably incurred costs and attorney's fees.</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17.</w:t>
      </w:r>
    </w:p>
    <w:p>
      <w:pPr>
        <w:pStyle w:val="TextBody"/>
        <w:bidi w:val="0"/>
        <w:jc w:val="both"/>
        <w:rPr/>
      </w:pPr>
      <w:r>
        <w:rPr>
          <w:rFonts w:ascii="Times New Roman" w:hAnsi="Times New Roman"/>
          <w:b/>
          <w:color w:val="000000"/>
          <w:sz w:val="24"/>
          <w:u w:val="single"/>
        </w:rPr>
        <w:t>Full Force and Effect</w:t>
      </w:r>
      <w:r>
        <w:rPr>
          <w:rFonts w:ascii="Times New Roman" w:hAnsi="Times New Roman"/>
          <w:color w:val="000000"/>
          <w:sz w:val="24"/>
        </w:rPr>
        <w:t>. Except as supplemented and/or modified by this Second Amendment, to the best of Landlord’s and Tenant’s actual knowledge, the Lease is in full force and effect and neither party is in default of its obligations under the Existing Lease and neither party has claims, offsets, or defenses to the enforcement of the Original Lease as previously amended. All other terms and conditions of the Lease, as amended hereby, shall remain in full force and effect, as so amended.</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0"/>
        <w:jc w:val="both"/>
        <w:rPr/>
      </w:pPr>
      <w:r>
        <w:rPr>
          <w:rFonts w:ascii="Times New Roman" w:hAnsi="Times New Roman"/>
          <w:b/>
          <w:color w:val="000000"/>
          <w:sz w:val="24"/>
          <w:u w:val="single"/>
        </w:rPr>
        <w:t>Entirety</w:t>
      </w:r>
      <w:r>
        <w:rPr>
          <w:rFonts w:ascii="Times New Roman" w:hAnsi="Times New Roman"/>
          <w:color w:val="000000"/>
          <w:sz w:val="24"/>
        </w:rPr>
        <w:t>. Except as provided in this Second Amendment, the Existing Lease is the entire agreement between the parties and there are no agreements or representations between the parties except as expressed herein. Moreover, no subsequent change or modification of the Lease shall be binding unless in writing and fully executed by Landlord and Tenant. In the event of a conflict between the terms, conditions, and provisions of the Existing Lease and this Second Amendment, the terms, conditions, and provisions of this Second Amendment shall control.</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79" w:after="283"/>
        <w:jc w:val="both"/>
        <w:rPr/>
      </w:pPr>
      <w:r>
        <w:rPr>
          <w:rFonts w:ascii="Times New Roman" w:hAnsi="Times New Roman"/>
          <w:b/>
          <w:color w:val="000000"/>
          <w:sz w:val="24"/>
          <w:u w:val="single"/>
        </w:rPr>
        <w:t>Miscellaneous</w:t>
      </w:r>
      <w:r>
        <w:rPr>
          <w:rFonts w:ascii="Times New Roman" w:hAnsi="Times New Roman"/>
          <w:color w:val="000000"/>
          <w:sz w:val="24"/>
        </w:rPr>
        <w:t>. Any breach of default under any provision of this Second Amendment shall be a breach of default under the Existing Lease and any breach or default under the Existing Lease shall be a breach of default under this Second Amendment. All capitalized terms not defined herein shall have the meaning set forth in the Existing Lease.</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20.</w:t>
      </w:r>
    </w:p>
    <w:p>
      <w:pPr>
        <w:pStyle w:val="TextBody"/>
        <w:bidi w:val="0"/>
        <w:jc w:val="both"/>
        <w:rPr/>
      </w:pPr>
      <w:r>
        <w:rPr>
          <w:rFonts w:ascii="Times New Roman" w:hAnsi="Times New Roman"/>
          <w:b/>
          <w:color w:val="000000"/>
          <w:sz w:val="24"/>
          <w:u w:val="single"/>
        </w:rPr>
        <w:t>Counterparts</w:t>
      </w:r>
      <w:r>
        <w:rPr>
          <w:rFonts w:ascii="Times New Roman" w:hAnsi="Times New Roman"/>
          <w:color w:val="000000"/>
          <w:sz w:val="24"/>
        </w:rPr>
        <w:t>. This Second Amendment maybe executed in one or more counterparts, each of which shall be deemed an original, and all of which, taken together, shall constitute one and the same instrument. Furthermore, this Second Amendment may be executed and delivered by the exchange of electronic facsimile or digital transmission (e.g., email attachment in “PDF” format), or copies of counterparts of the signed documents, which counterparts shall be binding on the parties and such execution and delivery shall have the same force and effect as any other delivery of a manually signed original of this Second Amendment.</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21.</w:t>
      </w:r>
    </w:p>
    <w:p>
      <w:pPr>
        <w:pStyle w:val="TextBody"/>
        <w:bidi w:val="0"/>
        <w:jc w:val="both"/>
        <w:rPr/>
      </w:pPr>
      <w:r>
        <w:rPr>
          <w:rFonts w:ascii="Times New Roman" w:hAnsi="Times New Roman"/>
          <w:b/>
          <w:color w:val="000000"/>
          <w:sz w:val="24"/>
          <w:u w:val="single"/>
        </w:rPr>
        <w:t>Effective Date</w:t>
      </w:r>
      <w:r>
        <w:rPr>
          <w:rFonts w:ascii="Times New Roman" w:hAnsi="Times New Roman"/>
          <w:color w:val="000000"/>
          <w:sz w:val="24"/>
        </w:rPr>
        <w:t>. This Second Amendment shall be effective only when it has been executed in writing by all of the parties hereto, when such Second Amendment has been delivered by Landlord and Tenant to each other and on such date when the last signatory necessary to execute this Second Amendment shall have executed it (the “</w:t>
      </w:r>
      <w:r>
        <w:rPr>
          <w:rFonts w:ascii="Times New Roman" w:hAnsi="Times New Roman"/>
          <w:b/>
          <w:color w:val="000000"/>
          <w:sz w:val="24"/>
        </w:rPr>
        <w:t>Effective Date</w:t>
      </w:r>
      <w:r>
        <w:rPr>
          <w:color w:val="000000"/>
        </w:rPr>
        <w:t>”</w:t>
      </w:r>
      <w:r>
        <w:rPr>
          <w:rFonts w:ascii="Times New Roman" w:hAnsi="Times New Roman"/>
          <w:color w:val="000000"/>
          <w:sz w:val="24"/>
        </w:rPr>
        <w:t>).</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22.</w:t>
      </w:r>
    </w:p>
    <w:p>
      <w:pPr>
        <w:pStyle w:val="TextBody"/>
        <w:bidi w:val="0"/>
        <w:jc w:val="both"/>
        <w:rPr/>
      </w:pPr>
      <w:r>
        <w:rPr>
          <w:rFonts w:ascii="Times New Roman" w:hAnsi="Times New Roman"/>
          <w:b/>
          <w:color w:val="000000"/>
          <w:sz w:val="24"/>
          <w:u w:val="single"/>
        </w:rPr>
        <w:t>Waiver</w:t>
      </w:r>
      <w:r>
        <w:rPr>
          <w:rFonts w:ascii="Times New Roman" w:hAnsi="Times New Roman"/>
          <w:color w:val="000000"/>
          <w:sz w:val="24"/>
        </w:rPr>
        <w:t>. No delay or omission by either party in exercising any right or power under the Existing Lease or this Second Amendment shall impair any such right or constitute a waiver thereof, unless such waiver is set forth in a written instrument duly executed by that party. A waiver of any covenant, condition or term set forth in the Existing Lease or this Second Amendment shall not be construed as a waiver of any succeeding breach of the same or other covenant, condition or term.</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23.</w:t>
      </w:r>
    </w:p>
    <w:p>
      <w:pPr>
        <w:pStyle w:val="TextBody"/>
        <w:bidi w:val="0"/>
        <w:jc w:val="both"/>
        <w:rPr/>
      </w:pPr>
      <w:r>
        <w:rPr>
          <w:rFonts w:ascii="Times New Roman" w:hAnsi="Times New Roman"/>
          <w:b/>
          <w:color w:val="000000"/>
          <w:sz w:val="24"/>
          <w:u w:val="single"/>
        </w:rPr>
        <w:t>Time of Essence</w:t>
      </w:r>
      <w:r>
        <w:rPr>
          <w:rFonts w:ascii="Times New Roman" w:hAnsi="Times New Roman"/>
          <w:color w:val="000000"/>
          <w:sz w:val="24"/>
        </w:rPr>
        <w:t>. Time is of the essence with regard to the time periods set forth in this Second Amendment.</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24.</w:t>
      </w:r>
    </w:p>
    <w:p>
      <w:pPr>
        <w:pStyle w:val="TextBody"/>
        <w:bidi w:val="0"/>
        <w:jc w:val="both"/>
        <w:rPr/>
      </w:pPr>
      <w:r>
        <w:rPr>
          <w:rFonts w:ascii="Times New Roman" w:hAnsi="Times New Roman"/>
          <w:b/>
          <w:color w:val="000000"/>
          <w:sz w:val="24"/>
          <w:u w:val="single"/>
        </w:rPr>
        <w:t>Brokerage Commissions</w:t>
      </w:r>
      <w:r>
        <w:rPr>
          <w:rFonts w:ascii="Times New Roman" w:hAnsi="Times New Roman"/>
          <w:color w:val="000000"/>
          <w:sz w:val="24"/>
        </w:rPr>
        <w:t>. Tenant warrants that it has not had any dealings with any real estate brokers, leasing agents, salesmen, or incurred any obligations for the payment of real estate brokerage commissions or finder’s fees which would be earned or due and payable by reason of the execution of this Second Amendment other than Cushman &amp; Wakefield. Landlord warrants that it has not had any dealings with any real estate brokers, leasing agents, salesmen, or incurred any obligations for the payment of real estate brokerage commissions or finder’s fees which would be earned or due and payable by reason of the execution of this Second Amendment other than Newman Knight Frank and Deerfield Realty Corp. (the “</w:t>
      </w:r>
      <w:r>
        <w:rPr>
          <w:rFonts w:ascii="Times New Roman" w:hAnsi="Times New Roman"/>
          <w:b/>
          <w:color w:val="000000"/>
          <w:sz w:val="24"/>
        </w:rPr>
        <w:t>Brokers</w:t>
      </w:r>
      <w:r>
        <w:rPr>
          <w:color w:val="000000"/>
        </w:rPr>
        <w:t>”</w:t>
      </w:r>
      <w:r>
        <w:rPr>
          <w:rFonts w:ascii="Times New Roman" w:hAnsi="Times New Roman"/>
          <w:color w:val="000000"/>
          <w:sz w:val="24"/>
        </w:rPr>
        <w:t>), which Brokers have represented Landlord. Landlord shall be solely responsible for the payment of Brokerage Commission to the above-identified real estate broker for both Landlord and Tenant pursuant to separate agreement. Tenant hereby agrees to and shall indemnify, defend, and hold harmless Landlord from and against any and all claims, liabilities, causes of action, damages, including reasonable attorneys’ fees and costs, arising out of any claims or causes of action that may be asserted against Landlord by any other broker, finder or other real estate agent with whom Tenant has purportedly dealt, in connection with the subject matter of this Second Amendment. Landlord hereby agrees to and shall indemnify, defend and hold harmless Tenant from and against any and all claims, liabilities, causes of action, damages, including reasonable attorneys’ fees and costs, arising out of any claims or causes of action which may be asserted against Tenant by any other</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broker, finder, or other real estate agent with whom Landlord has purportedly dealt in connection with the subject matter of this Second Amendment.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Landlord and Tenant have executed this Second Amendment to Multi-Tenant Space Lease with the intent to be legally bound thereby, to be effective as of the Effective Date.</w:t>
      </w:r>
    </w:p>
    <w:p>
      <w:pPr>
        <w:pStyle w:val="TextBody"/>
        <w:bidi w:val="0"/>
        <w:spacing w:before="196"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spacing w:before="90" w:after="283"/>
        <w:jc w:val="left"/>
        <w:rPr>
          <w:rFonts w:ascii="Times New Roman" w:hAnsi="Times New Roman"/>
          <w:sz w:val="20"/>
        </w:rPr>
      </w:pPr>
      <w:r>
        <w:rPr>
          <w:rFonts w:ascii="Times New Roman" w:hAnsi="Times New Roman"/>
          <w:color w:val="000000"/>
          <w:sz w:val="24"/>
          <w:u w:val="single"/>
        </w:rPr>
        <w:t>LANDLORD</w:t>
      </w:r>
      <w:r>
        <w:rPr>
          <w:rFonts w:ascii="Times New Roman" w:hAnsi="Times New Roman"/>
          <w:b w:val="false"/>
          <w:color w:val="000000"/>
          <w:sz w:val="24"/>
        </w:rPr>
        <w:t>:</w:t>
      </w:r>
    </w:p>
    <w:p>
      <w:pPr>
        <w:pStyle w:val="Heading2"/>
        <w:bidi w:val="0"/>
        <w:spacing w:before="241" w:after="283"/>
        <w:jc w:val="left"/>
        <w:rPr>
          <w:rFonts w:ascii="Times New Roman" w:hAnsi="Times New Roman"/>
          <w:sz w:val="20"/>
        </w:rPr>
      </w:pPr>
      <w:r>
        <w:rPr>
          <w:rFonts w:ascii="Times New Roman" w:hAnsi="Times New Roman"/>
          <w:color w:val="000000"/>
          <w:sz w:val="24"/>
        </w:rPr>
        <w:t>Deerfield Campbell LLC</w:t>
      </w:r>
      <w:r>
        <w:rPr>
          <w:rFonts w:ascii="Times New Roman" w:hAnsi="Times New Roman"/>
          <w:b w:val="false"/>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 California limited liability company</w:t>
      </w:r>
    </w:p>
    <w:p>
      <w:pPr>
        <w:pStyle w:val="TextBody"/>
        <w:bidi w:val="0"/>
        <w:spacing w:before="204"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/s/Tito J. Bianchi </w:t>
      </w:r>
      <w:r>
        <w:rPr>
          <w:rFonts w:ascii="Times New Roman" w:hAnsi="Times New Roman"/>
          <w:color w:val="000000"/>
          <w:sz w:val="24"/>
        </w:rPr>
        <w:t>Tito J. Bianchi, President of</w:t>
      </w:r>
    </w:p>
    <w:p>
      <w:pPr>
        <w:pStyle w:val="TextBody"/>
        <w:bidi w:val="0"/>
        <w:jc w:val="left"/>
        <w:rPr>
          <w:rFonts w:ascii="Times New Roman" w:hAnsi="Times New Roman"/>
          <w:color w:val="000000"/>
          <w:sz w:val="24"/>
        </w:rPr>
      </w:pPr>
      <w:r>
        <w:rPr>
          <w:rFonts w:ascii="Times New Roman" w:hAnsi="Times New Roman"/>
          <w:color w:val="000000"/>
          <w:sz w:val="24"/>
        </w:rPr>
        <w:t>Deerfield Realty Corporation Its: Manager</w:t>
      </w:r>
    </w:p>
    <w:p>
      <w:pPr>
        <w:pStyle w:val="TextBody"/>
        <w:bidi w:val="0"/>
        <w:spacing w:before="204"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 xml:space="preserve">January 29 </w:t>
      </w:r>
      <w:r>
        <w:rPr>
          <w:rFonts w:ascii="Times New Roman" w:hAnsi="Times New Roman"/>
          <w:color w:val="000000"/>
          <w:sz w:val="24"/>
        </w:rPr>
        <w:t>, 2026</w:t>
      </w:r>
    </w:p>
    <w:p>
      <w:pPr>
        <w:pStyle w:val="Heading1"/>
        <w:bidi w:val="0"/>
        <w:spacing w:before="90" w:after="283"/>
        <w:jc w:val="left"/>
        <w:rPr/>
      </w:pPr>
      <w:r>
        <w:rPr/>
        <w:t> </w:t>
      </w:r>
    </w:p>
    <w:p>
      <w:pPr>
        <w:pStyle w:val="Heading1"/>
        <w:bidi w:val="0"/>
        <w:spacing w:before="90" w:after="283"/>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spacing w:before="90" w:after="283"/>
        <w:jc w:val="left"/>
        <w:rPr>
          <w:rFonts w:ascii="Times New Roman" w:hAnsi="Times New Roman"/>
          <w:sz w:val="20"/>
        </w:rPr>
      </w:pPr>
      <w:r>
        <w:rPr>
          <w:rFonts w:ascii="Times New Roman" w:hAnsi="Times New Roman"/>
          <w:color w:val="000000"/>
          <w:sz w:val="24"/>
          <w:u w:val="single"/>
        </w:rPr>
        <w:t>TENANT</w:t>
      </w:r>
      <w:r>
        <w:rPr>
          <w:rFonts w:ascii="Times New Roman" w:hAnsi="Times New Roman"/>
          <w:b w:val="false"/>
          <w:color w:val="000000"/>
          <w:sz w:val="24"/>
        </w:rPr>
        <w:t>:</w:t>
      </w:r>
    </w:p>
    <w:p>
      <w:pPr>
        <w:pStyle w:val="Heading2"/>
        <w:bidi w:val="0"/>
        <w:spacing w:before="241" w:after="283"/>
        <w:jc w:val="left"/>
        <w:rPr>
          <w:rFonts w:ascii="Times New Roman" w:hAnsi="Times New Roman"/>
          <w:sz w:val="20"/>
        </w:rPr>
      </w:pPr>
      <w:r>
        <w:rPr>
          <w:rFonts w:ascii="Times New Roman" w:hAnsi="Times New Roman"/>
          <w:color w:val="000000"/>
          <w:sz w:val="24"/>
        </w:rPr>
        <w:t>Sight Sciences, Inc.</w:t>
      </w:r>
      <w:r>
        <w:rPr>
          <w:rFonts w:ascii="Times New Roman" w:hAnsi="Times New Roman"/>
          <w:b w:val="false"/>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 Delaware corporation</w:t>
      </w:r>
    </w:p>
    <w:p>
      <w:pPr>
        <w:pStyle w:val="TextBody"/>
        <w:bidi w:val="0"/>
        <w:spacing w:before="204"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/s/James Rodberg </w:t>
      </w:r>
    </w:p>
    <w:p>
      <w:pPr>
        <w:pStyle w:val="TextBody"/>
        <w:bidi w:val="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James Rodberg </w:t>
      </w:r>
    </w:p>
    <w:p>
      <w:pPr>
        <w:pStyle w:val="TextBody"/>
        <w:bidi w:val="0"/>
        <w:jc w:val="both"/>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r>
        <w:rPr>
          <w:rFonts w:ascii="Times New Roman" w:hAnsi="Times New Roman"/>
          <w:color w:val="000000"/>
          <w:sz w:val="24"/>
          <w:u w:val="single"/>
        </w:rPr>
        <w:t xml:space="preserve">Chief Financial Officer </w:t>
      </w:r>
    </w:p>
    <w:p>
      <w:pPr>
        <w:pStyle w:val="TextBody"/>
        <w:bidi w:val="0"/>
        <w:jc w:val="left"/>
        <w:rPr/>
      </w:pPr>
      <w:r>
        <w:rPr/>
        <w:t> </w:t>
      </w:r>
    </w:p>
    <w:p>
      <w:pPr>
        <w:pStyle w:val="TextBody"/>
        <w:bidi w:val="0"/>
        <w:spacing w:before="204"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Dated: </w:t>
      </w:r>
      <w:r>
        <w:rPr>
          <w:rFonts w:ascii="Times New Roman" w:hAnsi="Times New Roman"/>
          <w:color w:val="000000"/>
          <w:sz w:val="24"/>
          <w:u w:val="single"/>
        </w:rPr>
        <w:t xml:space="preserve">January 29 </w:t>
      </w:r>
      <w:r>
        <w:rPr>
          <w:rFonts w:ascii="Times New Roman" w:hAnsi="Times New Roman"/>
          <w:color w:val="000000"/>
          <w:sz w:val="24"/>
        </w:rPr>
        <w:t>, 2026</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Heading1"/>
        <w:bidi w:val="0"/>
        <w:spacing w:before="61" w:after="283"/>
        <w:jc w:val="right"/>
        <w:rPr>
          <w:rFonts w:ascii="Times New Roman" w:hAnsi="Times New Roman"/>
          <w:color w:val="000000"/>
          <w:sz w:val="22"/>
        </w:rPr>
      </w:pPr>
      <w:bookmarkStart w:id="42" w:name="sght-ex10_20.htm"/>
      <w:bookmarkStart w:id="43" w:name="kssghtex10_20"/>
      <w:bookmarkEnd w:id="42"/>
      <w:bookmarkEnd w:id="43"/>
      <w:r>
        <w:rPr>
          <w:rFonts w:ascii="Times New Roman" w:hAnsi="Times New Roman"/>
          <w:color w:val="000000"/>
          <w:sz w:val="22"/>
        </w:rPr>
        <w:t>Exhibit 10.20</w:t>
      </w:r>
      <w:r>
        <w:br w:type="page"/>
      </w:r>
    </w:p>
    <w:p>
      <w:pPr>
        <w:pStyle w:val="Heading1"/>
        <w:bidi w:val="0"/>
        <w:spacing w:before="61" w:after="283"/>
        <w:jc w:val="center"/>
        <w:rPr>
          <w:rFonts w:ascii="Times New Roman" w:hAnsi="Times New Roman"/>
          <w:color w:val="000000"/>
          <w:sz w:val="22"/>
        </w:rPr>
      </w:pPr>
      <w:r>
        <w:rPr>
          <w:rFonts w:ascii="Times New Roman" w:hAnsi="Times New Roman"/>
          <w:color w:val="000000"/>
          <w:sz w:val="22"/>
        </w:rPr>
        <w:t>SECOND AMENDMENT TO LOAN AND SECURITY AGREEMENT</w:t>
      </w:r>
    </w:p>
    <w:p>
      <w:pPr>
        <w:pStyle w:val="TextBody"/>
        <w:bidi w:val="0"/>
        <w:spacing w:before="237" w:after="283"/>
        <w:jc w:val="left"/>
        <w:rPr>
          <w:rFonts w:ascii="Times New Roman" w:hAnsi="Times New Roman"/>
          <w:sz w:val="20"/>
        </w:rPr>
      </w:pPr>
      <w:r>
        <w:rPr>
          <w:rFonts w:ascii="Times New Roman" w:hAnsi="Times New Roman"/>
          <w:color w:val="000000"/>
          <w:sz w:val="22"/>
        </w:rPr>
        <w:t>SECOND AMENDMENT TO LOAN AND SECURITY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w:t>
      </w:r>
    </w:p>
    <w:p>
      <w:pPr>
        <w:pStyle w:val="TextBody"/>
        <w:bidi w:val="0"/>
        <w:spacing w:before="1" w:after="283"/>
        <w:jc w:val="both"/>
        <w:rPr>
          <w:rFonts w:ascii="Times New Roman" w:hAnsi="Times New Roman"/>
          <w:sz w:val="20"/>
        </w:rPr>
      </w:pPr>
      <w:r>
        <w:rPr>
          <w:rFonts w:ascii="Times New Roman" w:hAnsi="Times New Roman"/>
          <w:color w:val="000000"/>
          <w:sz w:val="22"/>
        </w:rPr>
        <w:t>dated as of June 17, 2025, is entered into by and among SIGHT SCIENCES,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each other Person that has delivered a Joinder Agreement pursuant to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party hereto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parties to the Loan Agreement (as defined below)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color w:val="000000"/>
          <w:sz w:val="22"/>
        </w:rPr>
        <w:t>Borrower, Lenders and Agent are parties to that certain Loan and Security Agreement, dated as of January 22, 2024 (as amended by that certain First Amendment to Loan and Security Agreement, dated as of May 30, 2025, and as may be further amended, restated, amended and restated, supplemented or otherwise modified from time to time, the “</w:t>
      </w:r>
      <w:r>
        <w:rPr>
          <w:rFonts w:ascii="Times New Roman" w:hAnsi="Times New Roman"/>
          <w:color w:val="000000"/>
          <w:sz w:val="22"/>
          <w:u w:val="single"/>
        </w:rPr>
        <w:t>Loan Agreement</w:t>
      </w:r>
      <w:r>
        <w:rPr>
          <w:color w:val="000000"/>
        </w:rPr>
        <w:t>”</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Borrower has requested that Agent and Lenders agree to certain amendments to the Loan Agreement. Agent and Lenders have agreed to such request, subject to the terms and conditions hereof.</w:t>
      </w:r>
    </w:p>
    <w:p>
      <w:pPr>
        <w:pStyle w:val="Heading2"/>
        <w:bidi w:val="0"/>
        <w:spacing w:before="232" w:after="283"/>
        <w:jc w:val="left"/>
        <w:rPr>
          <w:rFonts w:ascii="Times New Roman" w:hAnsi="Times New Roman"/>
          <w:color w:val="000000"/>
          <w:sz w:val="22"/>
        </w:rPr>
      </w:pPr>
      <w:r>
        <w:rPr>
          <w:rFonts w:ascii="Times New Roman" w:hAnsi="Times New Roman"/>
          <w:color w:val="000000"/>
          <w:sz w:val="22"/>
        </w:rPr>
        <w:t>SECTION 1 Definitions; Interpretation.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b/>
          <w:color w:val="000000"/>
          <w:sz w:val="22"/>
        </w:rPr>
        <w:t>Terms Defined in Loan Agreement</w:t>
      </w:r>
      <w:r>
        <w:rPr>
          <w:rFonts w:ascii="Times New Roman" w:hAnsi="Times New Roman"/>
          <w:color w:val="000000"/>
          <w:sz w:val="22"/>
        </w:rPr>
        <w:t>. All capitalized terms used in this Amendment (including in the recitals hereof) and not otherwise defined herein shall have the meanings assigned to them in the Loan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b/>
          <w:color w:val="000000"/>
          <w:sz w:val="22"/>
        </w:rPr>
        <w:t>Rules of Construction</w:t>
      </w:r>
      <w:r>
        <w:rPr>
          <w:rFonts w:ascii="Times New Roman" w:hAnsi="Times New Roman"/>
          <w:color w:val="000000"/>
          <w:sz w:val="22"/>
        </w:rPr>
        <w:t>. The rules of construction in Section 1.3 of the Loan Agreement shall be applicable to this Amendment and are incorporated herein by this reference.</w:t>
      </w:r>
    </w:p>
    <w:p>
      <w:pPr>
        <w:pStyle w:val="Heading2"/>
        <w:bidi w:val="0"/>
        <w:spacing w:before="243" w:after="283"/>
        <w:jc w:val="left"/>
        <w:rPr>
          <w:rFonts w:ascii="Times New Roman" w:hAnsi="Times New Roman"/>
          <w:color w:val="000000"/>
          <w:sz w:val="22"/>
        </w:rPr>
      </w:pPr>
      <w:r>
        <w:rPr>
          <w:rFonts w:ascii="Times New Roman" w:hAnsi="Times New Roman"/>
          <w:color w:val="000000"/>
          <w:sz w:val="22"/>
        </w:rPr>
        <w:t>SECTION 2 Amendments to the Loan Agreement.</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Upon the occurrence of the Amendment Effective Date (as defined below), the Loan Agreement is hereby amended as follows: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pPr>
      <w:r>
        <w:rPr>
          <w:rFonts w:ascii="Times New Roman" w:hAnsi="Times New Roman"/>
          <w:color w:val="000000"/>
          <w:sz w:val="22"/>
          <w:u w:val="single"/>
        </w:rPr>
        <w:t>New Definition</w:t>
      </w:r>
      <w:r>
        <w:rPr>
          <w:rFonts w:ascii="Times New Roman" w:hAnsi="Times New Roman"/>
          <w:color w:val="000000"/>
          <w:sz w:val="22"/>
        </w:rPr>
        <w:t>. The following defined term and its definition is hereby added to Section 1.1 of the Loan Agreement in proper alphabetical order:</w:t>
      </w:r>
    </w:p>
    <w:p>
      <w:pPr>
        <w:pStyle w:val="TextBody"/>
        <w:bidi w:val="0"/>
        <w:spacing w:before="243" w:after="283"/>
        <w:jc w:val="center"/>
        <w:rPr/>
      </w:pPr>
      <w:r>
        <w:rPr>
          <w:color w:val="000000"/>
        </w:rPr>
        <w:t>“</w:t>
      </w:r>
      <w:r>
        <w:rPr>
          <w:rFonts w:ascii="Times New Roman" w:hAnsi="Times New Roman"/>
          <w:color w:val="000000"/>
          <w:sz w:val="22"/>
          <w:u w:val="single"/>
        </w:rPr>
        <w:t>Second Amendment Effective Date</w:t>
      </w:r>
      <w:r>
        <w:rPr>
          <w:rFonts w:ascii="Times New Roman" w:hAnsi="Times New Roman"/>
          <w:color w:val="000000"/>
          <w:sz w:val="20"/>
        </w:rPr>
        <w:t xml:space="preserve">” </w:t>
      </w:r>
      <w:r>
        <w:rPr>
          <w:rFonts w:ascii="Times New Roman" w:hAnsi="Times New Roman"/>
          <w:color w:val="000000"/>
          <w:sz w:val="22"/>
        </w:rPr>
        <w:t>means June 17, 2025.</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37" w:after="283"/>
        <w:jc w:val="left"/>
        <w:rPr/>
      </w:pPr>
      <w:r>
        <w:rPr>
          <w:rFonts w:ascii="Times New Roman" w:hAnsi="Times New Roman"/>
          <w:color w:val="000000"/>
          <w:sz w:val="22"/>
        </w:rPr>
        <w:t>Clause (x) of the definition of “</w:t>
      </w:r>
      <w:r>
        <w:rPr>
          <w:rFonts w:ascii="Times New Roman" w:hAnsi="Times New Roman"/>
          <w:color w:val="000000"/>
          <w:sz w:val="22"/>
          <w:u w:val="single"/>
        </w:rPr>
        <w:t>Permitted Indebtedness</w:t>
      </w:r>
      <w:r>
        <w:rPr>
          <w:color w:val="000000"/>
        </w:rPr>
        <w:t xml:space="preserve">” </w:t>
      </w:r>
      <w:r>
        <w:rPr>
          <w:rFonts w:ascii="Times New Roman" w:hAnsi="Times New Roman"/>
          <w:color w:val="000000"/>
          <w:sz w:val="22"/>
        </w:rPr>
        <w:t>in Section 1.1 of the Loan Agreement is hereby amended and restated in its entirety as follows:</w:t>
      </w:r>
    </w:p>
    <w:p>
      <w:pPr>
        <w:pStyle w:val="TextBody"/>
        <w:bidi w:val="0"/>
        <w:spacing w:before="241" w:after="283"/>
        <w:jc w:val="both"/>
        <w:rPr>
          <w:color w:val="000000"/>
        </w:rPr>
      </w:pPr>
      <w:r>
        <w:rPr>
          <w:color w:val="000000"/>
        </w:rPr>
        <w:t>“</w:t>
      </w:r>
      <w:r>
        <w:rPr>
          <w:rFonts w:ascii="Times New Roman" w:hAnsi="Times New Roman"/>
          <w:color w:val="000000"/>
          <w:sz w:val="22"/>
        </w:rPr>
        <w:t>(x) Indebtedness consisting of Contingent Obligations incurred in the ordinary course of business with respect to surety and appeal bonds, performance bonds and other similar obligations not to exceed Three Hundred Thousand Dollars ($300,000) in the aggregate at any time outstanding;”.</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8" w:after="283"/>
        <w:jc w:val="both"/>
        <w:rPr/>
      </w:pPr>
      <w:r>
        <w:rPr>
          <w:rFonts w:ascii="Times New Roman" w:hAnsi="Times New Roman"/>
          <w:b/>
          <w:color w:val="000000"/>
          <w:sz w:val="22"/>
        </w:rPr>
        <w:t>References Within Loan Agreement</w:t>
      </w:r>
      <w:r>
        <w:rPr>
          <w:rFonts w:ascii="Times New Roman" w:hAnsi="Times New Roman"/>
          <w:color w:val="000000"/>
          <w:sz w:val="22"/>
        </w:rPr>
        <w:t>. Each reference in the Loan Agreement to “this Agreement” and the words “hereof,” “herein,” “hereunder,” or words of like import, shall mean and be a reference to the Loan Agreement as amended by this Amendment. This Amendment shall be a Loan Document.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sz w:val="20"/>
        </w:rPr>
      </w:pPr>
      <w:r>
        <w:rPr>
          <w:rFonts w:ascii="Times New Roman" w:hAnsi="Times New Roman"/>
          <w:b/>
          <w:color w:val="000000"/>
          <w:sz w:val="22"/>
        </w:rPr>
        <w:t>SECTION 3 Conditions of Effectiveness</w:t>
      </w:r>
      <w:r>
        <w:rPr>
          <w:rFonts w:ascii="Times New Roman" w:hAnsi="Times New Roman"/>
          <w:color w:val="000000"/>
          <w:sz w:val="22"/>
        </w:rPr>
        <w:t xml:space="preserve">. This Amendment shall be effective on the date (such date, the </w:t>
      </w:r>
      <w:r>
        <w:rPr>
          <w:rFonts w:ascii="Times New Roman" w:hAnsi="Times New Roman"/>
          <w:color w:val="000000"/>
          <w:sz w:val="22"/>
          <w:u w:val="single"/>
        </w:rPr>
        <w:t>Amendment Effective Date</w:t>
      </w:r>
      <w:r>
        <w:rPr>
          <w:rFonts w:ascii="Times New Roman" w:hAnsi="Times New Roman"/>
          <w:color w:val="000000"/>
          <w:sz w:val="20"/>
        </w:rPr>
        <w:t>”</w:t>
      </w:r>
      <w:r>
        <w:rPr>
          <w:rFonts w:ascii="Times New Roman" w:hAnsi="Times New Roman"/>
          <w:color w:val="000000"/>
          <w:sz w:val="22"/>
        </w:rPr>
        <w:t>) of satisfaction of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shall have received this Amendment, executed by Agent, the Lenders and Borrower, and each Guarantor; and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Borrower shall have paid (i) all invoiced costs and expenses then due in accordance with Section 5(d), and (ii) all other fees, costs and expenses, if any, due and payable as of the date hereof under and in accordance with the Loan Agreement.</w:t>
      </w:r>
    </w:p>
    <w:p>
      <w:pPr>
        <w:pStyle w:val="TextBody"/>
        <w:bidi w:val="0"/>
        <w:spacing w:before="239" w:after="283"/>
        <w:jc w:val="both"/>
        <w:rPr>
          <w:rFonts w:ascii="Times New Roman" w:hAnsi="Times New Roman"/>
          <w:sz w:val="20"/>
        </w:rPr>
      </w:pPr>
      <w:r>
        <w:rPr>
          <w:rFonts w:ascii="Times New Roman" w:hAnsi="Times New Roman"/>
          <w:b/>
          <w:color w:val="000000"/>
          <w:sz w:val="22"/>
        </w:rPr>
        <w:t>SECTION 4 Representations and Warranties</w:t>
      </w:r>
      <w:r>
        <w:rPr>
          <w:rFonts w:ascii="Times New Roman" w:hAnsi="Times New Roman"/>
          <w:color w:val="000000"/>
          <w:sz w:val="22"/>
        </w:rPr>
        <w:t xml:space="preserve">. To induce Agent and Lenders to enter into this Amendment, Borrower hereby confirms, as of the date hereof, (a) that the representations and warranties made by it in Section 5 of the Loan Agreement and in the other Loan Documents are true and correct in all material respects;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materiality qualifier shall not be applicable to any representations and warranties that already are qualified or modified by materiality in the text thereof; </w:t>
      </w:r>
      <w:r>
        <w:rPr>
          <w:rFonts w:ascii="Times New Roman" w:hAnsi="Times New Roman"/>
          <w:i/>
          <w:color w:val="000000"/>
          <w:sz w:val="22"/>
        </w:rPr>
        <w:t xml:space="preserve">provided, further, </w:t>
      </w:r>
      <w:r>
        <w:rPr>
          <w:rFonts w:ascii="Times New Roman" w:hAnsi="Times New Roman"/>
          <w:color w:val="000000"/>
          <w:sz w:val="22"/>
        </w:rPr>
        <w:t>that to the extent such representations and warranties by their terms expressly relate only to a prior date such representations and warranties shall be true and correct as of such prior date, and (b) that no Default or Event of Default has occurred and is continuing; (c) that there has not been and there does not exist a Material Adverse Effect; (d) this Amendment and each other Loan Document to which each Borrower is a party constitutes a legal, valid and binding obligation of such Borrower, enforceable against Borrower in accordance with its terms, except as such enforceability may be limited by bankruptcy, insolvency, reorganization, receivership, moratorium or other laws affecting creditors’ rights generally and by general principles of equity, (e) the execution, delivery and performance of this Amendment by Borrower will not (i) result in the creation or imposition of any Lien upon the Collateral, other than Permitted Liens, or (ii) violate any provisions of Borrower’s Organizational Documents or any law, regulation, order, injunction, judgment, decree or writ to which Borrower is subject or any material contract or agreement, and (f) Lenders have and shall continue to have valid, enforceable and perfected first-priority liens, subject only to Permitted Liens, on and security interests int the Collateral and other collateral heretofore granted by Borrower to Lenders, pursuant to the Loan Documents or otherwise granted to or held by Lenders.</w:t>
      </w:r>
    </w:p>
    <w:p>
      <w:pPr>
        <w:pStyle w:val="Heading2"/>
        <w:bidi w:val="0"/>
        <w:spacing w:before="243" w:after="283"/>
        <w:jc w:val="both"/>
        <w:rPr>
          <w:rFonts w:ascii="Times New Roman" w:hAnsi="Times New Roman"/>
          <w:color w:val="000000"/>
          <w:sz w:val="22"/>
        </w:rPr>
      </w:pPr>
      <w:r>
        <w:rPr>
          <w:rFonts w:ascii="Times New Roman" w:hAnsi="Times New Roman"/>
          <w:color w:val="000000"/>
          <w:sz w:val="22"/>
        </w:rPr>
        <w:t>SECTION 5 Miscellaneous.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left"/>
        <w:rPr/>
      </w:pPr>
      <w:r>
        <w:rPr>
          <w:rFonts w:ascii="Times New Roman" w:hAnsi="Times New Roman"/>
          <w:b/>
          <w:color w:val="000000"/>
          <w:sz w:val="22"/>
        </w:rPr>
        <w:t>Loan Documents Otherwise Not Affected; Reaffirmation; No Novation</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hereby expressly (1) reaffirms, ratifies and confirms its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as of the date hereof, and with effect from (and including) the Agreement Effective Date, such grant of security in the Collateral: (x) remains in full force and effect notwithstanding any amendments expressly referenced herein; and (y) secures all Secured Obligations under the Loan Agreement, as amended by this Amendment, and the Loan Documents, (4) agrees that this Amendment shall be a “Loan Document” under the Loan Agreement, and</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2"/>
        </w:rPr>
      </w:pPr>
      <w:r>
        <w:rPr>
          <w:rFonts w:ascii="Times New Roman" w:hAnsi="Times New Roman"/>
          <w:color w:val="000000"/>
          <w:sz w:val="22"/>
        </w:rPr>
        <w:t>(5) agrees that the Loan Agreement (as amended by this Amendment) and each other Loan Document shall remain in full force and effect following any action contemplated in connection herewith.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b/>
          <w:color w:val="000000"/>
          <w:sz w:val="22"/>
        </w:rPr>
        <w:t>Conditions</w:t>
      </w:r>
      <w:r>
        <w:rPr>
          <w:rFonts w:ascii="Times New Roman" w:hAnsi="Times New Roman"/>
          <w:color w:val="000000"/>
          <w:sz w:val="22"/>
        </w:rPr>
        <w:t xml:space="preserve">. For purposes of determining compliance with the conditions specified in </w:t>
      </w:r>
      <w:r>
        <w:rPr>
          <w:rFonts w:ascii="Times New Roman" w:hAnsi="Times New Roman"/>
          <w:color w:val="000000"/>
          <w:sz w:val="22"/>
          <w:u w:val="single"/>
        </w:rPr>
        <w:t>Section 3</w:t>
      </w:r>
      <w:r>
        <w:rPr>
          <w:rFonts w:ascii="Times New Roman" w:hAnsi="Times New Roman"/>
          <w:color w:val="000000"/>
          <w:sz w:val="22"/>
        </w:rPr>
        <w:t>, each Lender that has signed this Amendment shall be deemed to have consented to, approved or accepted or to be satisfied with, each document or other matter required thereunder to be consented to or approved by or acceptable or satisfactory to such Lender unless Agent shall have received notice from such Lender prior to the date hereof specifying its objection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b/>
          <w:color w:val="000000"/>
          <w:sz w:val="22"/>
        </w:rPr>
        <w:t>No Reliance</w:t>
      </w:r>
      <w:r>
        <w:rPr>
          <w:rFonts w:ascii="Times New Roman" w:hAnsi="Times New Roman"/>
          <w:color w:val="000000"/>
          <w:sz w:val="22"/>
        </w:rPr>
        <w:t>. Borrower hereby acknowledges and confirms to Agent and Lenders that Borrower is executing this Amendment on the basis of its own investigation and for its own reasons without reliance upon any agreement, representation, understanding or communication by or on behalf of any other Person.</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8" w:after="283"/>
        <w:jc w:val="both"/>
        <w:rPr/>
      </w:pPr>
      <w:r>
        <w:rPr>
          <w:rFonts w:ascii="Times New Roman" w:hAnsi="Times New Roman"/>
          <w:b/>
          <w:color w:val="000000"/>
          <w:sz w:val="22"/>
        </w:rPr>
        <w:t>Costs and Expenses</w:t>
      </w:r>
      <w:r>
        <w:rPr>
          <w:rFonts w:ascii="Times New Roman" w:hAnsi="Times New Roman"/>
          <w:color w:val="000000"/>
          <w:sz w:val="22"/>
        </w:rPr>
        <w:t>. Borrower agrees to pay to Agent on the Amendment Effective Date the out-of-pocket costs and expenses of Agent and each Lender party hereto, including the reasonable and documented fees and disbursements of counsel to Agent and each Lender party hereto in connection with the negotiation, preparation, execution and delivery of this Amendment and any other documents to be delivered in connection herewith on the date hereof.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pPr>
      <w:r>
        <w:rPr>
          <w:rFonts w:ascii="Times New Roman" w:hAnsi="Times New Roman"/>
          <w:b/>
          <w:color w:val="000000"/>
          <w:sz w:val="22"/>
        </w:rPr>
        <w:t>Binding Effect</w:t>
      </w:r>
      <w:r>
        <w:rPr>
          <w:rFonts w:ascii="Times New Roman" w:hAnsi="Times New Roman"/>
          <w:color w:val="000000"/>
          <w:sz w:val="22"/>
        </w:rPr>
        <w:t>. The provisions of this Amendment shall inure to the benefit of and be binding on Borrower and its permitted assigns (if any).</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0" w:after="283"/>
        <w:jc w:val="both"/>
        <w:rPr/>
      </w:pPr>
      <w:r>
        <w:rPr>
          <w:rFonts w:ascii="Times New Roman" w:hAnsi="Times New Roman"/>
          <w:b/>
          <w:color w:val="000000"/>
          <w:sz w:val="22"/>
        </w:rPr>
        <w:t xml:space="preserve">Governing Law. </w:t>
      </w:r>
      <w:r>
        <w:rPr>
          <w:rFonts w:ascii="Times New Roman" w:hAnsi="Times New Roman"/>
          <w:color w:val="000000"/>
          <w:sz w:val="22"/>
        </w:rPr>
        <w:t>THIS AMENDMENT SHALL BE GOVERNED BY, AND CONSTRUED AND ENFORCED IN ACCORDANCE WITH, THE LAWS OF THE STATE CALIFORNIA, EXCLUDING CONFLICT OF LAWS PRINCIPLES THAT WOULD CAUSE THE APPLICATION OF LAWS OF ANY OTHER JURISDICTION.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pPr>
      <w:r>
        <w:rPr>
          <w:rFonts w:ascii="Times New Roman" w:hAnsi="Times New Roman"/>
          <w:b/>
          <w:color w:val="000000"/>
          <w:sz w:val="22"/>
        </w:rPr>
        <w:t>Complete Agreement; Amendments</w:t>
      </w:r>
      <w:r>
        <w:rPr>
          <w:rFonts w:ascii="Times New Roman" w:hAnsi="Times New Roman"/>
          <w:color w:val="000000"/>
          <w:sz w:val="22"/>
        </w:rPr>
        <w:t>. This Amendment and the Loan Documents constitute the entire agreement and understanding of the parties hereto in respect of the subject matter hereof and thereof, and supersede and replace in their entirety any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b/>
          <w:color w:val="000000"/>
          <w:sz w:val="22"/>
        </w:rPr>
        <w:t xml:space="preserve">Severability of Provisions. </w:t>
      </w:r>
      <w:r>
        <w:rPr>
          <w:rFonts w:ascii="Times New Roman" w:hAnsi="Times New Roman"/>
          <w:color w:val="000000"/>
          <w:sz w:val="22"/>
        </w:rPr>
        <w:t>Each provision of this Amendment is severable from every other provision in determining the enforceability of any provision.</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0" w:after="283"/>
        <w:jc w:val="both"/>
        <w:rPr/>
      </w:pPr>
      <w:r>
        <w:rPr>
          <w:rFonts w:ascii="Times New Roman" w:hAnsi="Times New Roman"/>
          <w:b/>
          <w:color w:val="000000"/>
          <w:sz w:val="22"/>
        </w:rPr>
        <w:t>Counterparts</w:t>
      </w:r>
      <w:r>
        <w:rPr>
          <w:rFonts w:ascii="Times New Roman" w:hAnsi="Times New Roman"/>
          <w:color w:val="000000"/>
          <w:sz w:val="22"/>
        </w:rPr>
        <w:t>. This Amendment may be executed in any number of counterparts, and by different parties in separate counterparts, each of which when so delivered shall be deemed an original, but all of which counterparts shall constitute but one and the same instrument.</w:t>
      </w:r>
    </w:p>
    <w:p>
      <w:pPr>
        <w:pStyle w:val="TextBody"/>
        <w:bidi w:val="0"/>
        <w:spacing w:before="79"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79" w:after="283"/>
        <w:jc w:val="both"/>
        <w:rPr/>
      </w:pPr>
      <w:r>
        <w:rPr>
          <w:rFonts w:ascii="Times New Roman" w:hAnsi="Times New Roman"/>
          <w:b/>
          <w:color w:val="000000"/>
          <w:sz w:val="22"/>
        </w:rPr>
        <w:t>Electronic Execution of Certain Other Documents</w:t>
      </w:r>
      <w:r>
        <w:rPr>
          <w:rFonts w:ascii="Times New Roman" w:hAnsi="Times New Roman"/>
          <w:color w:val="000000"/>
          <w:sz w:val="22"/>
        </w:rPr>
        <w:t xml:space="preserve">. 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2"/>
        </w:rPr>
      </w:pPr>
      <w:r>
        <w:rPr>
          <w:rFonts w:ascii="Times New Roman" w:hAnsi="Times New Roman"/>
          <w:color w:val="000000"/>
          <w:sz w:val="22"/>
        </w:rPr>
        <w:t>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Electronic Transactions Act, or any other similar state laws based on the Uniform Electronic Transactions Act.</w:t>
      </w:r>
    </w:p>
    <w:p>
      <w:pPr>
        <w:pStyle w:val="TextBody"/>
        <w:bidi w:val="0"/>
        <w:spacing w:before="242" w:after="283"/>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2"/>
        </w:rPr>
      </w:pPr>
      <w:r>
        <w:rPr>
          <w:rFonts w:ascii="Times New Roman" w:hAnsi="Times New Roman"/>
          <w:color w:val="000000"/>
          <w:sz w:val="22"/>
        </w:rPr>
        <w:t>IN WITNESS WHEREOF, the parties hereto have duly executed this Amendment as of the date first above written.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BORROWER:</w:t>
      </w:r>
    </w:p>
    <w:p>
      <w:pPr>
        <w:pStyle w:val="TextBody"/>
        <w:bidi w:val="0"/>
        <w:jc w:val="left"/>
        <w:rPr/>
      </w:pPr>
      <w:r>
        <w:rPr/>
        <w:t> </w:t>
      </w:r>
    </w:p>
    <w:p>
      <w:pPr>
        <w:pStyle w:val="Heading1"/>
        <w:bidi w:val="0"/>
        <w:spacing w:before="1" w:after="283"/>
        <w:jc w:val="left"/>
        <w:rPr>
          <w:rFonts w:ascii="Times New Roman" w:hAnsi="Times New Roman"/>
          <w:color w:val="000000"/>
          <w:sz w:val="22"/>
        </w:rPr>
      </w:pPr>
      <w:r>
        <w:rPr>
          <w:rFonts w:ascii="Times New Roman" w:hAnsi="Times New Roman"/>
          <w:color w:val="000000"/>
          <w:sz w:val="22"/>
        </w:rPr>
        <w:t>SIGHT SCIENCES, INC.</w:t>
      </w:r>
    </w:p>
    <w:p>
      <w:pPr>
        <w:pStyle w:val="TextBody"/>
        <w:bidi w:val="0"/>
        <w:spacing w:before="251" w:after="283"/>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2"/>
          <w:u w:val="single"/>
        </w:rPr>
        <w:t xml:space="preserve">/s/Ali Bauerlein </w:t>
      </w:r>
    </w:p>
    <w:p>
      <w:pPr>
        <w:pStyle w:val="TextBody"/>
        <w:bidi w:val="0"/>
        <w:jc w:val="left"/>
        <w:rPr>
          <w:rFonts w:ascii="Times New Roman" w:hAnsi="Times New Roman"/>
          <w:color w:val="000000"/>
          <w:sz w:val="22"/>
        </w:rPr>
      </w:pPr>
      <w:r>
        <w:rPr>
          <w:rFonts w:ascii="Times New Roman" w:hAnsi="Times New Roman"/>
          <w:color w:val="000000"/>
          <w:sz w:val="22"/>
        </w:rPr>
        <w:t>Print Name: Ali Bauerlein</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[SIGNATURES CONTINUE ON THE NEXT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2"/>
        </w:rPr>
      </w:pPr>
      <w:r>
        <w:rPr>
          <w:rFonts w:ascii="Times New Roman" w:hAnsi="Times New Roman"/>
          <w:color w:val="000000"/>
          <w:sz w:val="22"/>
        </w:rPr>
        <w:t>AGENT:</w:t>
      </w:r>
    </w:p>
    <w:p>
      <w:pPr>
        <w:pStyle w:val="TextBody"/>
        <w:bidi w:val="0"/>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HERCULES CAPITAL, INC.</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Signature: </w:t>
      </w:r>
      <w:r>
        <w:rPr>
          <w:rFonts w:ascii="Times New Roman" w:hAnsi="Times New Roman"/>
          <w:color w:val="000000"/>
          <w:sz w:val="22"/>
          <w:u w:val="single"/>
        </w:rPr>
        <w:t xml:space="preserve">/s/Maclean Greedy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Name: Maclean Greedy</w:t>
      </w:r>
    </w:p>
    <w:p>
      <w:pPr>
        <w:pStyle w:val="TextBody"/>
        <w:bidi w:val="0"/>
        <w:jc w:val="left"/>
        <w:rPr>
          <w:rFonts w:ascii="Times New Roman" w:hAnsi="Times New Roman"/>
          <w:color w:val="000000"/>
          <w:sz w:val="22"/>
        </w:rPr>
      </w:pPr>
      <w:r>
        <w:rPr>
          <w:rFonts w:ascii="Times New Roman" w:hAnsi="Times New Roman"/>
          <w:color w:val="000000"/>
          <w:sz w:val="22"/>
        </w:rPr>
        <w:t>Title: Associate General Counsel</w:t>
      </w:r>
    </w:p>
    <w:p>
      <w:pPr>
        <w:pStyle w:val="TextBody"/>
        <w:bidi w:val="0"/>
        <w:jc w:val="left"/>
        <w:rPr/>
      </w:pPr>
      <w:r>
        <w:rPr/>
        <w:t> </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LENDERS:</w:t>
      </w:r>
    </w:p>
    <w:p>
      <w:pPr>
        <w:pStyle w:val="Heading1"/>
        <w:bidi w:val="0"/>
        <w:spacing w:before="251" w:after="283"/>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Signature: </w:t>
      </w:r>
      <w:r>
        <w:rPr>
          <w:rFonts w:ascii="Times New Roman" w:hAnsi="Times New Roman"/>
          <w:color w:val="000000"/>
          <w:sz w:val="22"/>
          <w:u w:val="single"/>
        </w:rPr>
        <w:t xml:space="preserve">/s/Maclean Greedy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Name: Maclean Greedy</w:t>
      </w:r>
    </w:p>
    <w:p>
      <w:pPr>
        <w:pStyle w:val="TextBody"/>
        <w:bidi w:val="0"/>
        <w:jc w:val="left"/>
        <w:rPr>
          <w:rFonts w:ascii="Times New Roman" w:hAnsi="Times New Roman"/>
          <w:color w:val="000000"/>
          <w:sz w:val="22"/>
        </w:rPr>
      </w:pPr>
      <w:r>
        <w:rPr>
          <w:rFonts w:ascii="Times New Roman" w:hAnsi="Times New Roman"/>
          <w:color w:val="000000"/>
          <w:sz w:val="22"/>
        </w:rPr>
        <w:t>Title: Associate General Counsel</w:t>
      </w:r>
    </w:p>
    <w:p>
      <w:pPr>
        <w:pStyle w:val="TextBody"/>
        <w:bidi w:val="0"/>
        <w:spacing w:before="252"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HERCULES SBIC V, L.P.</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Signature: </w:t>
      </w:r>
      <w:r>
        <w:rPr>
          <w:rFonts w:ascii="Times New Roman" w:hAnsi="Times New Roman"/>
          <w:color w:val="000000"/>
          <w:sz w:val="22"/>
          <w:u w:val="single"/>
        </w:rPr>
        <w:t xml:space="preserve">/s/Maclean Greedy </w:t>
      </w:r>
    </w:p>
    <w:p>
      <w:pPr>
        <w:pStyle w:val="TextBody"/>
        <w:bidi w:val="0"/>
        <w:jc w:val="left"/>
        <w:rPr>
          <w:rFonts w:ascii="Times New Roman" w:hAnsi="Times New Roman"/>
          <w:color w:val="000000"/>
          <w:sz w:val="22"/>
        </w:rPr>
      </w:pPr>
      <w:r>
        <w:rPr>
          <w:rFonts w:ascii="Times New Roman" w:hAnsi="Times New Roman"/>
          <w:color w:val="000000"/>
          <w:sz w:val="22"/>
        </w:rPr>
        <w:t>Name: Maclean Greedy</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Title: Associate General Counsel</w:t>
      </w:r>
    </w:p>
    <w:p>
      <w:pPr>
        <w:pStyle w:val="TextBody"/>
        <w:bidi w:val="0"/>
        <w:spacing w:before="252"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HERCULES PRIVATE CREDIT FUND 1 L.P.</w:t>
      </w:r>
    </w:p>
    <w:p>
      <w:pPr>
        <w:pStyle w:val="TextBody"/>
        <w:bidi w:val="0"/>
        <w:spacing w:before="6" w:after="283"/>
        <w:jc w:val="left"/>
        <w:rPr>
          <w:rFonts w:ascii="Times New Roman" w:hAnsi="Times New Roman"/>
          <w:sz w:val="20"/>
        </w:rPr>
      </w:pPr>
      <w:r>
        <w:rPr>
          <w:rFonts w:ascii="Times New Roman" w:hAnsi="Times New Roman"/>
          <w:color w:val="000000"/>
          <w:sz w:val="22"/>
        </w:rPr>
        <w:t xml:space="preserve">By: Hercules Adviser LLC, its Investment Adviser Signature: </w:t>
      </w:r>
      <w:r>
        <w:rPr>
          <w:rFonts w:ascii="Times New Roman" w:hAnsi="Times New Roman"/>
          <w:color w:val="000000"/>
          <w:sz w:val="22"/>
          <w:u w:val="single"/>
        </w:rPr>
        <w:t xml:space="preserve">/s/Maclean Greedy </w:t>
      </w:r>
    </w:p>
    <w:p>
      <w:pPr>
        <w:pStyle w:val="TextBody"/>
        <w:bidi w:val="0"/>
        <w:spacing w:before="6" w:after="283"/>
        <w:jc w:val="left"/>
        <w:rPr>
          <w:rFonts w:ascii="Times New Roman" w:hAnsi="Times New Roman"/>
          <w:color w:val="000000"/>
          <w:sz w:val="22"/>
        </w:rPr>
      </w:pPr>
      <w:r>
        <w:rPr>
          <w:rFonts w:ascii="Times New Roman" w:hAnsi="Times New Roman"/>
          <w:color w:val="000000"/>
          <w:sz w:val="22"/>
        </w:rPr>
        <w:t>Name: Maclean Greedy Title: Authorized Signatory</w:t>
      </w:r>
    </w:p>
    <w:p>
      <w:pPr>
        <w:pStyle w:val="TextBody"/>
        <w:bidi w:val="0"/>
        <w:jc w:val="left"/>
        <w:rPr/>
      </w:pPr>
      <w:r>
        <w:rPr/>
        <w:t> </w:t>
      </w:r>
    </w:p>
    <w:p>
      <w:pPr>
        <w:pStyle w:val="TextBody"/>
        <w:bidi w:val="0"/>
        <w:spacing w:before="1"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HERCULES PRIVATE GLOBAL VENTURE GROWTH FUND I L.P.</w:t>
      </w:r>
    </w:p>
    <w:p>
      <w:pPr>
        <w:pStyle w:val="TextBody"/>
        <w:bidi w:val="0"/>
        <w:spacing w:before="53" w:after="283"/>
        <w:jc w:val="left"/>
        <w:rPr>
          <w:rFonts w:ascii="Times New Roman" w:hAnsi="Times New Roman"/>
          <w:sz w:val="20"/>
        </w:rPr>
      </w:pPr>
      <w:r>
        <w:rPr>
          <w:rFonts w:ascii="Times New Roman" w:hAnsi="Times New Roman"/>
          <w:color w:val="000000"/>
          <w:sz w:val="22"/>
        </w:rPr>
        <w:t xml:space="preserve">By: Hercules Adviser LLC, its Investment Adviser Signature: </w:t>
      </w:r>
      <w:r>
        <w:rPr>
          <w:rFonts w:ascii="Times New Roman" w:hAnsi="Times New Roman"/>
          <w:color w:val="000000"/>
          <w:sz w:val="22"/>
          <w:u w:val="single"/>
        </w:rPr>
        <w:t xml:space="preserve">/s/Maclean Greedy </w:t>
      </w:r>
    </w:p>
    <w:p>
      <w:pPr>
        <w:pStyle w:val="TextBody"/>
        <w:bidi w:val="0"/>
        <w:jc w:val="left"/>
        <w:rPr>
          <w:rFonts w:ascii="Times New Roman" w:hAnsi="Times New Roman"/>
          <w:color w:val="000000"/>
          <w:sz w:val="22"/>
        </w:rPr>
      </w:pPr>
      <w:r>
        <w:rPr>
          <w:rFonts w:ascii="Times New Roman" w:hAnsi="Times New Roman"/>
          <w:color w:val="000000"/>
          <w:sz w:val="22"/>
        </w:rPr>
        <w:t>Name: Maclean Greedy</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smallCaps/>
          <w:color w:val="000000"/>
          <w:sz w:val="22"/>
        </w:rPr>
      </w:pPr>
      <w:bookmarkStart w:id="44" w:name="sght-ex19_1.htm"/>
      <w:bookmarkStart w:id="45" w:name="kssghtex19_1"/>
      <w:bookmarkEnd w:id="44"/>
      <w:bookmarkEnd w:id="45"/>
      <w:r>
        <w:rPr>
          <w:rFonts w:ascii="Times New Roman" w:hAnsi="Times New Roman"/>
          <w:b/>
          <w:smallCaps/>
          <w:color w:val="000000"/>
          <w:sz w:val="22"/>
        </w:rPr>
        <w:t>Exhibit 19.1</w:t>
      </w:r>
      <w:r>
        <w:br w:type="page"/>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Sight Sciences,,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Insider Trading Compliance Policy</w:t>
      </w:r>
    </w:p>
    <w:p>
      <w:pPr>
        <w:pStyle w:val="TextBody"/>
        <w:bidi w:val="0"/>
        <w:spacing w:before="0" w:after="240"/>
        <w:jc w:val="both"/>
        <w:rPr>
          <w:rFonts w:ascii="Times New Roman" w:hAnsi="Times New Roman"/>
          <w:sz w:val="20"/>
        </w:rPr>
      </w:pPr>
      <w:r>
        <w:rPr>
          <w:rFonts w:ascii="Times New Roman" w:hAnsi="Times New Roman"/>
          <w:color w:val="000000"/>
          <w:sz w:val="24"/>
        </w:rPr>
        <w:t>This Insider Trading Compliance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consists of seven sections: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 provides an overview;</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II sets forth the policies of the Company prohibiting insider trading;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III explains insider trading;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IV consists of procedures that have been put in place by the Company to prevent insider trading;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 sets forth additional transactions that are prohibited by this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VI explains Rule 10b5-1 trading plans;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VII refers to the execution and return of a certificate of compliance.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Summary</w:t>
      </w:r>
    </w:p>
    <w:p>
      <w:pPr>
        <w:pStyle w:val="TextBody"/>
        <w:bidi w:val="0"/>
        <w:spacing w:before="0" w:after="240"/>
        <w:jc w:val="both"/>
        <w:rPr>
          <w:rFonts w:ascii="Times New Roman" w:hAnsi="Times New Roman"/>
          <w:sz w:val="20"/>
        </w:rPr>
      </w:pPr>
      <w:r>
        <w:rPr>
          <w:rFonts w:ascii="Times New Roman" w:hAnsi="Times New Roman"/>
          <w:color w:val="000000"/>
          <w:sz w:val="24"/>
        </w:rPr>
        <w:t>Preventing insider trading is necessary to comply with securities laws and to preserve the reputation and integrity of Sight Sciences,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up to and including termination of employment for cause.</w:t>
      </w:r>
    </w:p>
    <w:p>
      <w:pPr>
        <w:pStyle w:val="TextBody"/>
        <w:bidi w:val="0"/>
        <w:spacing w:before="0" w:after="240"/>
        <w:jc w:val="both"/>
        <w:rPr>
          <w:rFonts w:ascii="Times New Roman" w:hAnsi="Times New Roman"/>
          <w:sz w:val="20"/>
        </w:rPr>
      </w:pPr>
      <w:r>
        <w:rPr>
          <w:rFonts w:ascii="Times New Roman" w:hAnsi="Times New Roman"/>
          <w:color w:val="000000"/>
          <w:sz w:val="24"/>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hAnsi="Times New Roman"/>
          <w:b/>
          <w:i/>
          <w:color w:val="000000"/>
          <w:sz w:val="24"/>
        </w:rPr>
        <w:t>Covered Persons</w:t>
      </w:r>
      <w:r>
        <w:rPr>
          <w:rFonts w:ascii="Times New Roman" w:hAnsi="Times New Roman"/>
          <w:color w:val="000000"/>
          <w:sz w:val="20"/>
        </w:rPr>
        <w:t>”</w:t>
      </w:r>
      <w:r>
        <w:rPr>
          <w:rFonts w:ascii="Times New Roman" w:hAnsi="Times New Roman"/>
          <w:color w:val="000000"/>
          <w:sz w:val="24"/>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carefully review and strictly comply with the terms of this Policy. Questions regarding the Policy should be directed to the Chief Legal Officer.</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Statement of Policies Prohibiting Insider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This prohibition may extend to include information relating to a specific company or multiple companies in the same industry or sector as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These prohibitions do not apply to:</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purchases of the Company’s securities by a Covered Person from the Company or sales of the Company’s securities by a Covered Person to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exercises of stock options or other equity awards, or the surrender of shares to the Company in payment of the exercise price or in satisfaction of any tax withholding obligations, in a manner permitted by the applicable equity award agreement, or vesting and/or settlement of equity-based awards, that in each case do not involve a market sale of the Company’s securities (the “cashless exercise” of a Company stock option through a broker does involve a market sale of the Company’s securities, and therefore would not qualify under this exception);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i/>
          <w:color w:val="000000"/>
          <w:sz w:val="24"/>
        </w:rPr>
        <w:t>bona fide</w:t>
      </w:r>
      <w:r>
        <w:rPr>
          <w:color w:val="000000"/>
        </w:rPr>
        <w:t xml:space="preserve"> </w:t>
      </w:r>
      <w:r>
        <w:rPr>
          <w:rFonts w:ascii="Times New Roman" w:hAnsi="Times New Roman"/>
          <w:color w:val="000000"/>
          <w:sz w:val="24"/>
        </w:rPr>
        <w:t>gifts or charitable donations of the Company’s securities following written approval by the Compliance Officer, unless the person making the gift has reason to believe that the recipient intends to sell the securities while the donor is in possession of material, non-public information about the Company;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hAnsi="Times New Roman"/>
          <w:b/>
          <w:i/>
          <w:color w:val="000000"/>
          <w:sz w:val="24"/>
        </w:rPr>
        <w:t>Rule 10b5-1</w:t>
      </w:r>
      <w:r>
        <w:rPr>
          <w:color w:val="000000"/>
        </w:rPr>
        <w:t>”</w:t>
      </w:r>
      <w:r>
        <w:rPr>
          <w:rFonts w:ascii="Times New Roman" w:hAnsi="Times New Roman"/>
          <w:color w:val="000000"/>
          <w:sz w:val="24"/>
        </w:rPr>
        <w:t>) promulgated under the Securities Exchange Act of 1934, as amended (the “</w:t>
      </w:r>
      <w:r>
        <w:rPr>
          <w:rFonts w:ascii="Times New Roman" w:hAnsi="Times New Roman"/>
          <w:b/>
          <w:i/>
          <w:color w:val="000000"/>
          <w:sz w:val="24"/>
        </w:rPr>
        <w:t>1934 Act</w:t>
      </w:r>
      <w:r>
        <w:rPr>
          <w:color w:val="000000"/>
        </w:rPr>
        <w:t>”</w:t>
      </w:r>
      <w:r>
        <w:rPr>
          <w:rFonts w:ascii="Times New Roman" w:hAnsi="Times New Roman"/>
          <w:color w:val="000000"/>
          <w:sz w:val="24"/>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transfers of the Company’s securities into a trust for which the Covered Person is a trustee, or from the trust back into the name of the Covered Person;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transfers of Company securities by will or pursuant to the laws of descent and distribution;</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private securities transactions not otherwise prohibited by this Policy between a Covered Person and a sophisticated party provided that (i) if it is proposed by the Covered Person that inside information is to be provided to the sophisticated party, any such information shall only be provided by the Company in the Company’s sole discretion, and then, if so disclosed, only after the party has entered into a non-disclosure agreement with the Company in form and substance satisfactory to the Company, and (ii) the party agrees to any restrictions under the federal securities laws that the Company may impose on the party’s ability to effect transactions in any Company securities purchased by the party; 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purchases and sales of mutual funds, exchange traded funds or other similar funds or investment vehicles that invest in securities of the Company and with respect to which the Covered Person is a passive investor and has no rights with respect to the voting or disposition of any Company securities or the purchases and sales of Company securities by any such entity.</w:t>
      </w:r>
    </w:p>
    <w:p>
      <w:pPr>
        <w:pStyle w:val="TextBody"/>
        <w:bidi w:val="0"/>
        <w:spacing w:before="0" w:after="240"/>
        <w:jc w:val="both"/>
        <w:rPr>
          <w:rFonts w:ascii="Times New Roman" w:hAnsi="Times New Roman"/>
          <w:sz w:val="20"/>
        </w:rPr>
      </w:pPr>
      <w:r>
        <w:rPr>
          <w:rFonts w:ascii="Times New Roman" w:hAnsi="Times New Roman"/>
          <w:color w:val="000000"/>
          <w:sz w:val="24"/>
        </w:rPr>
        <w:t>In addition, no officer, director or employee shall directly or indirectly communicate (or “</w:t>
      </w:r>
      <w:r>
        <w:rPr>
          <w:rFonts w:ascii="Times New Roman" w:hAnsi="Times New Roman"/>
          <w:b/>
          <w:i/>
          <w:color w:val="000000"/>
          <w:sz w:val="24"/>
        </w:rPr>
        <w:t>tip</w:t>
      </w:r>
      <w:r>
        <w:rPr>
          <w:rFonts w:ascii="Times New Roman" w:hAnsi="Times New Roman"/>
          <w:color w:val="000000"/>
          <w:sz w:val="20"/>
        </w:rPr>
        <w:t>”</w:t>
      </w:r>
      <w:r>
        <w:rPr>
          <w:rFonts w:ascii="Times New Roman" w:hAnsi="Times New Roman"/>
          <w:color w:val="000000"/>
          <w:sz w:val="24"/>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Explanation of Insider Trading</w:t>
      </w:r>
    </w:p>
    <w:p>
      <w:pPr>
        <w:pStyle w:val="TextBody"/>
        <w:bidi w:val="0"/>
        <w:spacing w:before="0" w:after="240"/>
        <w:jc w:val="both"/>
        <w:rPr/>
      </w:pPr>
      <w:r>
        <w:rPr>
          <w:color w:val="000000"/>
        </w:rPr>
        <w:t>“</w:t>
      </w:r>
      <w:r>
        <w:rPr>
          <w:rFonts w:ascii="Times New Roman" w:hAnsi="Times New Roman"/>
          <w:b/>
          <w:i/>
          <w:color w:val="000000"/>
          <w:sz w:val="24"/>
        </w:rPr>
        <w:t>Insider trading</w:t>
      </w:r>
      <w:r>
        <w:rPr>
          <w:rFonts w:ascii="Times New Roman" w:hAnsi="Times New Roman"/>
          <w:color w:val="000000"/>
          <w:sz w:val="20"/>
        </w:rPr>
        <w:t xml:space="preserve">” </w:t>
      </w:r>
      <w:r>
        <w:rPr>
          <w:rFonts w:ascii="Times New Roman" w:hAnsi="Times New Roman"/>
          <w:color w:val="000000"/>
          <w:sz w:val="24"/>
        </w:rPr>
        <w:t>refers to the purchase or sale of a security while in possession of “material,” “non-public” information relating to the security or its issuer.</w:t>
      </w:r>
    </w:p>
    <w:p>
      <w:pPr>
        <w:pStyle w:val="TextBody"/>
        <w:bidi w:val="0"/>
        <w:spacing w:before="0" w:after="240"/>
        <w:jc w:val="both"/>
        <w:rPr/>
      </w:pPr>
      <w:r>
        <w:rPr>
          <w:color w:val="000000"/>
        </w:rPr>
        <w:t>“</w:t>
      </w:r>
      <w:r>
        <w:rPr>
          <w:rFonts w:ascii="Times New Roman" w:hAnsi="Times New Roman"/>
          <w:b/>
          <w:i/>
          <w:color w:val="000000"/>
          <w:sz w:val="24"/>
        </w:rPr>
        <w:t>Securities</w:t>
      </w:r>
      <w:r>
        <w:rPr>
          <w:rFonts w:ascii="Times New Roman" w:hAnsi="Times New Roman"/>
          <w:color w:val="000000"/>
          <w:sz w:val="20"/>
        </w:rPr>
        <w:t xml:space="preserve">” </w:t>
      </w:r>
      <w:r>
        <w:rPr>
          <w:rFonts w:ascii="Times New Roman" w:hAnsi="Times New Roman"/>
          <w:color w:val="000000"/>
          <w:sz w:val="24"/>
        </w:rPr>
        <w:t>includes stocks, bonds, notes, debentures, options, warrants and other convertible securities, as well as derivative instruments.</w:t>
      </w:r>
    </w:p>
    <w:p>
      <w:pPr>
        <w:pStyle w:val="TextBody"/>
        <w:bidi w:val="0"/>
        <w:spacing w:before="0" w:after="240"/>
        <w:jc w:val="both"/>
        <w:rPr/>
      </w:pPr>
      <w:r>
        <w:rPr>
          <w:color w:val="000000"/>
        </w:rPr>
        <w:t>“</w:t>
      </w:r>
      <w:r>
        <w:rPr>
          <w:rFonts w:ascii="Times New Roman" w:hAnsi="Times New Roman"/>
          <w:b/>
          <w:i/>
          <w:color w:val="000000"/>
          <w:sz w:val="24"/>
        </w:rPr>
        <w:t>Purchase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sale</w:t>
      </w:r>
      <w:r>
        <w:rPr>
          <w:rFonts w:ascii="Times New Roman" w:hAnsi="Times New Roman"/>
          <w:color w:val="000000"/>
          <w:sz w:val="20"/>
        </w:rPr>
        <w:t xml:space="preserve">” </w:t>
      </w:r>
      <w:r>
        <w:rPr>
          <w:rFonts w:ascii="Times New Roman" w:hAnsi="Times New Roman"/>
          <w:color w:val="000000"/>
          <w:sz w:val="24"/>
        </w:rPr>
        <w:t>are defined broadly under the federal securities law. “</w:t>
      </w:r>
      <w:r>
        <w:rPr>
          <w:rFonts w:ascii="Times New Roman" w:hAnsi="Times New Roman"/>
          <w:i/>
          <w:color w:val="000000"/>
          <w:sz w:val="24"/>
        </w:rPr>
        <w:t>Purchase</w:t>
      </w:r>
      <w:r>
        <w:rPr>
          <w:rFonts w:ascii="Times New Roman" w:hAnsi="Times New Roman"/>
          <w:color w:val="000000"/>
          <w:sz w:val="20"/>
        </w:rPr>
        <w:t xml:space="preserve">” </w:t>
      </w:r>
      <w:r>
        <w:rPr>
          <w:rFonts w:ascii="Times New Roman" w:hAnsi="Times New Roman"/>
          <w:color w:val="000000"/>
          <w:sz w:val="24"/>
        </w:rPr>
        <w:t>includes not only the actual purchase of a security, but any contract to purchase or otherwise acquire a security. “</w:t>
      </w:r>
      <w:r>
        <w:rPr>
          <w:rFonts w:ascii="Times New Roman" w:hAnsi="Times New Roman"/>
          <w:i/>
          <w:color w:val="000000"/>
          <w:sz w:val="24"/>
        </w:rPr>
        <w:t>Sale</w:t>
      </w:r>
      <w:r>
        <w:rPr>
          <w:rFonts w:ascii="Times New Roman" w:hAnsi="Times New Roman"/>
          <w:color w:val="000000"/>
          <w:sz w:val="20"/>
        </w:rPr>
        <w:t xml:space="preserve">” </w:t>
      </w:r>
      <w:r>
        <w:rPr>
          <w:rFonts w:ascii="Times New Roman" w:hAnsi="Times New Roman"/>
          <w:color w:val="000000"/>
          <w:sz w:val="24"/>
        </w:rPr>
        <w:t>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puts, calls or other derivative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generally understood that insider trading includes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trading by insiders while in possession of material, non-public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trading by persons other than insiders while in possession of material, non-public information, if the information either was given in breach of an insider’s fiduciary duty to keep it confidential or was misappropriated;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communicating or tipping material, non-public information to others, including recommending the purchase or sale of a security while in possession of such information.</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What Facts are Material?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Examples of material information include (but are not limited to) information about: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corporate earnings or earnings forecasts;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possible mergers, acquisitions, dispositions, recapitalizations, joint ventures, strategic alliances or partnerships, license agreements or tender offers;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major new products or product developments;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important business developments such as clinical trial enrollment status or results, award or loss of a significant contract, developments regarding strategic collaborations, product reimbursement status, or the status of regulatory submissions, clearances or approvals;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management, Board of Directors or control changes;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financing developments including pending public sales or offerings of debt or equity securities;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defaults on borrowings;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bankruptcies;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litigation or regulatory 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Moreover, material information does not have to be related to a company’s business. For example, the contents of a forthcoming newspaper column that is expected to affect the market price of a security can be material. Similarly, information relating to an industry or multiple companies in the same sector could be material.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good general rule of thumb: </w:t>
      </w:r>
      <w:r>
        <w:rPr>
          <w:rFonts w:ascii="Times New Roman" w:hAnsi="Times New Roman"/>
          <w:b/>
          <w:color w:val="000000"/>
          <w:sz w:val="24"/>
        </w:rPr>
        <w:t>When in doubt, do not trade.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What is Non-Public?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hAnsi="Times New Roman"/>
          <w:color w:val="000000"/>
          <w:sz w:val="24"/>
          <w:u w:val="single"/>
        </w:rPr>
        <w:t>Dow Jones</w:t>
      </w:r>
      <w:r>
        <w:rPr>
          <w:rFonts w:ascii="Times New Roman" w:hAnsi="Times New Roman"/>
          <w:color w:val="000000"/>
          <w:sz w:val="24"/>
        </w:rPr>
        <w:t xml:space="preserve">, </w:t>
      </w:r>
      <w:r>
        <w:rPr>
          <w:rFonts w:ascii="Times New Roman" w:hAnsi="Times New Roman"/>
          <w:color w:val="000000"/>
          <w:sz w:val="24"/>
          <w:u w:val="single"/>
        </w:rPr>
        <w:t>Business Wire</w:t>
      </w:r>
      <w:r>
        <w:rPr>
          <w:rFonts w:ascii="Times New Roman" w:hAnsi="Times New Roman"/>
          <w:color w:val="000000"/>
          <w:sz w:val="24"/>
        </w:rPr>
        <w:t xml:space="preserve">, </w:t>
      </w:r>
      <w:r>
        <w:rPr>
          <w:rFonts w:ascii="Times New Roman" w:hAnsi="Times New Roman"/>
          <w:color w:val="000000"/>
          <w:sz w:val="24"/>
          <w:u w:val="single"/>
        </w:rPr>
        <w:t>Reuters</w:t>
      </w:r>
      <w:r>
        <w:rPr>
          <w:rFonts w:ascii="Times New Roman" w:hAnsi="Times New Roman"/>
          <w:color w:val="000000"/>
          <w:sz w:val="24"/>
        </w:rPr>
        <w:t xml:space="preserve">, </w:t>
      </w:r>
      <w:r>
        <w:rPr>
          <w:rFonts w:ascii="Times New Roman" w:hAnsi="Times New Roman"/>
          <w:color w:val="000000"/>
          <w:sz w:val="24"/>
          <w:u w:val="single"/>
        </w:rPr>
        <w:t>The Wall Street Journal</w:t>
      </w:r>
      <w:r>
        <w:rPr>
          <w:rFonts w:ascii="Times New Roman" w:hAnsi="Times New Roman"/>
          <w:color w:val="000000"/>
          <w:sz w:val="24"/>
        </w:rPr>
        <w:t xml:space="preserve">, </w:t>
      </w:r>
      <w:r>
        <w:rPr>
          <w:rFonts w:ascii="Times New Roman" w:hAnsi="Times New Roman"/>
          <w:color w:val="000000"/>
          <w:sz w:val="24"/>
          <w:u w:val="single"/>
        </w:rPr>
        <w:t>Associated Press</w:t>
      </w:r>
      <w:r>
        <w:rPr>
          <w:rFonts w:ascii="Times New Roman" w:hAnsi="Times New Roman"/>
          <w:color w:val="000000"/>
          <w:sz w:val="24"/>
        </w:rPr>
        <w:t xml:space="preserve">, or </w:t>
      </w:r>
      <w:r>
        <w:rPr>
          <w:rFonts w:ascii="Times New Roman" w:hAnsi="Times New Roman"/>
          <w:color w:val="000000"/>
          <w:sz w:val="24"/>
          <w:u w:val="single"/>
        </w:rPr>
        <w:t>United Press International</w:t>
      </w:r>
      <w:r>
        <w:rPr>
          <w:rFonts w:ascii="Times New Roman" w:hAnsi="Times New Roman"/>
          <w:color w:val="000000"/>
          <w:sz w:val="24"/>
        </w:rPr>
        <w:t>, a broadcast on widely available radio or television programs, publication in a widely available newspaper, magazine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news web site, a Regulation FD-compliant conference call, or public disclosure documents filed with the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that are available on the SEC’s web site.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Who is an Insider?</w:t>
      </w:r>
    </w:p>
    <w:p>
      <w:pPr>
        <w:pStyle w:val="TextBody"/>
        <w:bidi w:val="0"/>
        <w:spacing w:before="0" w:after="240"/>
        <w:jc w:val="both"/>
        <w:rPr>
          <w:color w:val="000000"/>
        </w:rPr>
      </w:pPr>
      <w:r>
        <w:rPr>
          <w:color w:val="000000"/>
        </w:rPr>
        <w:t>“</w:t>
      </w:r>
      <w:r>
        <w:rPr>
          <w:rFonts w:ascii="Times New Roman" w:hAnsi="Times New Roman"/>
          <w:color w:val="000000"/>
          <w:sz w:val="24"/>
        </w:rPr>
        <w:t>Insiders” include officers, directors and employees of a company and certain other individuals that have material non-public information about a company. Insiders have independent fiduciary duties to the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Trading by Persons Other than Insiders</w:t>
      </w:r>
    </w:p>
    <w:p>
      <w:pPr>
        <w:pStyle w:val="TextBody"/>
        <w:bidi w:val="0"/>
        <w:spacing w:before="0" w:after="240"/>
        <w:jc w:val="both"/>
        <w:rPr>
          <w:rFonts w:ascii="Times New Roman" w:hAnsi="Times New Roman"/>
          <w:sz w:val="20"/>
        </w:rPr>
      </w:pPr>
      <w:r>
        <w:rPr>
          <w:rFonts w:ascii="Times New Roman" w:hAnsi="Times New Roman"/>
          <w:color w:val="000000"/>
          <w:sz w:val="24"/>
        </w:rPr>
        <w:t>Insiders may be liable for communicating or tipping material, non-public information to a third party (“</w:t>
      </w:r>
      <w:r>
        <w:rPr>
          <w:rFonts w:ascii="Times New Roman" w:hAnsi="Times New Roman"/>
          <w:b/>
          <w:i/>
          <w:color w:val="000000"/>
          <w:sz w:val="24"/>
        </w:rPr>
        <w:t>tippee</w:t>
      </w:r>
      <w:r>
        <w:rPr>
          <w:rFonts w:ascii="Times New Roman" w:hAnsi="Times New Roman"/>
          <w:color w:val="000000"/>
          <w:sz w:val="20"/>
        </w:rPr>
        <w:t>”</w:t>
      </w:r>
      <w:r>
        <w:rPr>
          <w:rFonts w:ascii="Times New Roman" w:hAnsi="Times New Roman"/>
          <w:color w:val="000000"/>
          <w:sz w:val="24"/>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Penalties for Engaging in Insider Trading</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 administrative sanctions;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securities industry self-regulatory organization sanctions;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civil injunctions;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damage awards to private plaintiffs;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disgorgement of all profits;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civil fines for the violator of up to three times the amount of profit gained or loss avoided;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civil fines for the employer or other controlling person of a violator (i.e., where the violator is an employee or other controlled person) of up to the greater of a prescribed statutory amount and three times the amount of profit gained or loss avoided by the violator;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criminal fines for individual violators of up to $5,000,000 ($25,000,000 for an entity);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jail sentences of up to 20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insider trading could result in serious sanctions by the Company, up to and including termination of employment for cause.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Size of Transaction and Reason for Transaction Do Not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Examples of Insider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Examples of insider trading cases include: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actions brought against corporate officers, directors, and employees who traded in a company’s securities after learning of significant confidential corporate developments;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friends, business associates, family members and other tippees of such officers, directors, and employees who traded in the securities after receiving such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government employees who learned of such information in the course of their employment;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persons who misappropriated, and took advantage of, confidential information from their employers.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Trading by Insider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Trading by Tippee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Prohibition of Records Falsification and False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Statement of Procedures Preventing Insider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procedures have been established, and will be maintained and enforced, by the Company to prevent insider trading. Every officer and director and each employee who is designated as a Pre-Clearance Person (as defined below) is required to follow these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Pre-Clearance of All Trades by All Officers, Directors and Certain Employees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provide assistance in preventing inadvertent violations of applicable securities laws and to avoid the appearance of impropriety in connection with the purchase and sale of the Company’s securities, </w:t>
      </w:r>
      <w:r>
        <w:rPr>
          <w:rFonts w:ascii="Times New Roman" w:hAnsi="Times New Roman"/>
          <w:b/>
          <w:color w:val="000000"/>
          <w:sz w:val="24"/>
        </w:rPr>
        <w:t>all transactions in the Company’s securities (including without limitation, acquisitions and dispositions of Company stock and the exercise of stock options and subsequent sale of Company stock issued upon exercise) by officers, directors and such other employees as are designated by the Board of Directors, the Chief Executive Officer, Chief Financial Officer or the Chief Legal Officer as being subject to this pre-clearance process (each, a “</w:t>
      </w:r>
      <w:r>
        <w:rPr>
          <w:rFonts w:ascii="Times New Roman" w:hAnsi="Times New Roman"/>
          <w:b/>
          <w:i/>
          <w:color w:val="000000"/>
          <w:sz w:val="24"/>
        </w:rPr>
        <w:t>Pre-Clearance Person</w:t>
      </w:r>
      <w:r>
        <w:rPr>
          <w:rFonts w:ascii="Times New Roman" w:hAnsi="Times New Roman"/>
          <w:color w:val="000000"/>
          <w:sz w:val="20"/>
        </w:rPr>
        <w:t>”</w:t>
      </w:r>
      <w:r>
        <w:rPr>
          <w:rFonts w:ascii="Times New Roman" w:hAnsi="Times New Roman"/>
          <w:b/>
          <w:color w:val="000000"/>
          <w:sz w:val="24"/>
        </w:rPr>
        <w:t>) must be pre-cleared</w:t>
      </w:r>
      <w:r>
        <w:rPr>
          <w:rFonts w:ascii="Times New Roman" w:hAnsi="Times New Roman"/>
          <w:color w:val="000000"/>
          <w:sz w:val="20"/>
        </w:rPr>
        <w:t xml:space="preserve"> </w:t>
      </w:r>
      <w:r>
        <w:rPr>
          <w:rFonts w:ascii="Times New Roman" w:hAnsi="Times New Roman"/>
          <w:color w:val="000000"/>
          <w:sz w:val="24"/>
        </w:rPr>
        <w:t>by the Chief Legal Officer. Pre-clearance does not relieve anyone of his or her responsibility under SEC rules. For the avoidance of doubt, any designation by the Board of Directors of the employees who are subject to pre-clearance may be updated from time to time by the Chief Executive Officer, the Chief Financial Officer or the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and subsequent sale, etc.), the proposed date of the transaction and the number of shares, options or other securities to be involved. In addition, unless otherwise determined by the Chief Legal Officer, the Pre-Clearance Person must execute a certification (in the form approved by the Chief Legal Officer) that he, she or it is not aware of material, non-public information about the Company. The Chief Legal Officer shall have sole discretion to decide whether to clear any contemplated transaction, provided that the Chief Financial Officer shall have sole discretion to decide whether to clear transactions by the Chief Legal Officer or persons or entities subject to this policy as a result of their relationship with the Chief Legal Officer. All trades that are pre-cleared must be effected within five business days of receipt of the pre-clearance unless a specific exception has been granted by the Chief Legal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Black-Out Periods</w:t>
      </w:r>
    </w:p>
    <w:p>
      <w:pPr>
        <w:pStyle w:val="TextBody"/>
        <w:bidi w:val="0"/>
        <w:spacing w:before="0" w:after="240"/>
        <w:jc w:val="both"/>
        <w:rPr>
          <w:rFonts w:ascii="Times New Roman" w:hAnsi="Times New Roman"/>
          <w:sz w:val="20"/>
        </w:rPr>
      </w:pPr>
      <w:r>
        <w:rPr>
          <w:rFonts w:ascii="Times New Roman" w:hAnsi="Times New Roman"/>
          <w:b/>
          <w:color w:val="000000"/>
          <w:sz w:val="24"/>
        </w:rPr>
        <w:t>No officer, director or other employee designated from time to time by the Board of Directors, the Chief Executive Officer, the Chief Financial Officer or the Chief Legal Officer as being subject to quarterly blackout periods shall purchase or sell any security of the Company during the period beginning at 11:59 p.m., Eastern time, on the 14</w:t>
      </w:r>
      <w:r>
        <w:rPr>
          <w:rFonts w:ascii="Times New Roman" w:hAnsi="Times New Roman"/>
          <w:b/>
          <w:color w:val="000000"/>
          <w:sz w:val="16"/>
        </w:rPr>
        <w:t>th</w:t>
      </w:r>
      <w:r>
        <w:rPr>
          <w:rFonts w:ascii="Times New Roman" w:hAnsi="Times New Roman"/>
          <w:color w:val="000000"/>
          <w:sz w:val="20"/>
        </w:rPr>
        <w:t xml:space="preserve"> </w:t>
      </w:r>
      <w:r>
        <w:rPr>
          <w:rFonts w:ascii="Times New Roman" w:hAnsi="Times New Roman"/>
          <w:b/>
          <w:color w:val="000000"/>
          <w:sz w:val="24"/>
        </w:rPr>
        <w:t>calendar day before the end of any fiscal quarter of the Company and ending upon the completion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second full trading day after the public release of earnings data for such fiscal quarter or during any other trading suspension period declared by the Company</w:t>
      </w:r>
      <w:r>
        <w:rPr>
          <w:rFonts w:ascii="Times New Roman" w:hAnsi="Times New Roman"/>
          <w:color w:val="000000"/>
          <w:sz w:val="24"/>
        </w:rPr>
        <w:t>, except for purchases and sales made pursuant to the permitted transactions described in Section II. For example, if the Company’s fourth fiscal quarter ends at 11:59 p.m., Eastern time, on December 31, the corresponding blackout period would begin at 11:59 p.m., Eastern time, on December 17. For the avoidance of doubt, any designation by the Board of Directors of the employees who are subject to quarterly blackout periods may be updated from time to time by the Chief Executive Officer, Chief Financial Officer or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Exceptions to the black-out period policy may be approved only by the Chief Legal Officer (or, in the case of an exception for the Chief Legal Officer or persons or entities subject to this policy as a result of their relationship with the Chief Legal Officer, the Chief Financial Officer or, in the case of exceptions for directors or persons or entities subject to this policy as a result of their relationship with a director,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the Company, through the Board of Directors, the Chief Financial Officer or the Chief Legal Officer, may require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Post-Termination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individual is in possession of material, non-public information when his or her service terminates, that individual may not trade in the Company’s securities until that information has become public or is no longer material.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Information Relating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Access to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pStyle w:val="TextBody"/>
        <w:bidi w:val="0"/>
        <w:spacing w:before="0" w:after="240"/>
        <w:jc w:val="both"/>
        <w:rPr>
          <w:rFonts w:ascii="Times New Roman" w:hAnsi="Times New Roman"/>
          <w:sz w:val="20"/>
        </w:rPr>
      </w:pPr>
      <w:r>
        <w:rPr>
          <w:rFonts w:ascii="Times New Roman" w:hAnsi="Times New Roman"/>
          <w:color w:val="000000"/>
          <w:sz w:val="24"/>
        </w:rPr>
        <w:t>In communicating material, non-public information to employees of the Company, all officers, directors and employees must take care to emphasize the need for confidential treatment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information and adherence to the Company’s policies with regard to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Inquiries From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Inquiries from third parties, such as industry analysts or members of the media, about the Company should be directed to the Chief Executive Officer, Chief Financial Officer or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Limitations on Access to Company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procedures are designed to maintain confidentiality with respect to the Company’s business operations and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officers, directors and employees should take all steps and precautions necessary to restrict access to, and secure, material, non-public information by, among other things: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maintaining the confidentiality of Company-related transactions;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removing and cleaning up all confidential documents and other materials from conference rooms following the conclusion of any meetings;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disposing of all confidential documents and other papers, after there is no longer any business or other legally required need, through shredders when appropriate;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restricting access to areas likely to contain confidential documents or material, non-public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safeguarding laptop computers, mobile devices, tablets, memory sticks, CDs and other items that contain confidential information;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avoiding the discussion of material, non-public information in places where the information could be overheard by others such as in elevators, restrooms, hallways, restaurants, airplanes or taxicabs.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Personnel involved with material, non-public information, to the extent feasible, should conduct their business and activities in areas separate from other Company activities.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Additional Prohibited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Short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i.e., sales of shares that the insider does not own at the time of sale, or sales of shares against which the insider does not deliver the shares within 20 days after the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 Grants of options to directors, officers and employees under the Company’s equity plans, and the exercise of such options, are not intended to be prohibited by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Hedging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Purchases of the Company’s Securities on Margin; Pledging the Company’s Securities to Secure Margin or Other Loans</w:t>
      </w:r>
    </w:p>
    <w:p>
      <w:pPr>
        <w:pStyle w:val="TextBody"/>
        <w:bidi w:val="0"/>
        <w:spacing w:before="0" w:after="240"/>
        <w:jc w:val="both"/>
        <w:rPr>
          <w:rFonts w:ascii="Times New Roman" w:hAnsi="Times New Roman"/>
          <w:sz w:val="20"/>
        </w:rPr>
      </w:pPr>
      <w:r>
        <w:rPr>
          <w:rFonts w:ascii="Times New Roman" w:hAnsi="Times New Roman"/>
          <w:color w:val="000000"/>
          <w:sz w:val="24"/>
        </w:rPr>
        <w:t>Purchasing on margin means borrowing from a brokerage firm, bank or other entity in order to purchase the Company’s securities (other than in connection with a cashless exercise of stock options through a broker under the Company’s equity plans). Margin purchases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Company’s securities are prohibited by this Policy. This prohibition means, among other things, that you cannot hold the Company’s securities in a “margin account” (which would allow you to borrow against your holdings to buy securities). Pledging the Company’s securities as collateral to secure loans is prohibited; provided, however, that the Compliance Officer may make exceptions to the prohibition of pledging on a case-by-case basis through a written pre-approval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Director and Executive Officer Cashless Exercises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“T+1” cashless exercise arrangement, in which the Company agrees to deliver stock against the payment of the purchase price on the same day the sale of the stock underlying the equity award settles and (iv) the director or officer otherwise complies with this Policy. Under a T+1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Partnership Distributions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Rule 10b5-1 Trading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Overview</w:t>
      </w:r>
    </w:p>
    <w:p>
      <w:pPr>
        <w:pStyle w:val="TextBody"/>
        <w:bidi w:val="0"/>
        <w:spacing w:before="0" w:after="240"/>
        <w:jc w:val="both"/>
        <w:rPr>
          <w:rFonts w:ascii="Times New Roman" w:hAnsi="Times New Roman"/>
          <w:sz w:val="20"/>
        </w:rPr>
      </w:pPr>
      <w:r>
        <w:rPr>
          <w:rFonts w:ascii="Times New Roman" w:hAnsi="Times New Roman"/>
          <w:color w:val="000000"/>
          <w:sz w:val="24"/>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entered into in good faith and in accordance with the terms of Rule 10b5-1 (a “</w:t>
      </w:r>
      <w:r>
        <w:rPr>
          <w:rFonts w:ascii="Times New Roman" w:hAnsi="Times New Roman"/>
          <w:b/>
          <w:i/>
          <w:color w:val="000000"/>
          <w:sz w:val="24"/>
        </w:rPr>
        <w:t>Trading Plan</w:t>
      </w:r>
      <w:r>
        <w:rPr>
          <w:rFonts w:ascii="Times New Roman" w:hAnsi="Times New Roman"/>
          <w:color w:val="000000"/>
          <w:sz w:val="20"/>
        </w:rPr>
        <w:t>”</w:t>
      </w:r>
      <w:r>
        <w:rPr>
          <w:rFonts w:ascii="Times New Roman" w:hAnsi="Times New Roman"/>
          <w:color w:val="000000"/>
          <w:sz w:val="24"/>
        </w:rPr>
        <w:t>) will be exempt from the trading restrictions set forth in this Policy. Each such Trading Plan, and any proposed modification thereof, must be submitted to and pre-approved by the Chief Legal Officer or the Chief Legal Officer’s designee, or such other person as the Board of Directors may designate from time to time (the “</w:t>
      </w:r>
      <w:r>
        <w:rPr>
          <w:rFonts w:ascii="Times New Roman" w:hAnsi="Times New Roman"/>
          <w:b/>
          <w:i/>
          <w:color w:val="000000"/>
          <w:sz w:val="24"/>
        </w:rPr>
        <w:t>Authorizing Officer</w:t>
      </w:r>
      <w:r>
        <w:rPr>
          <w:rFonts w:ascii="Times New Roman" w:hAnsi="Times New Roman"/>
          <w:color w:val="000000"/>
          <w:sz w:val="20"/>
        </w:rPr>
        <w:t>”</w:t>
      </w:r>
      <w:r>
        <w:rPr>
          <w:rFonts w:ascii="Times New Roman" w:hAnsi="Times New Roman"/>
          <w:color w:val="000000"/>
          <w:sz w:val="24"/>
        </w:rPr>
        <w:t>), who may impose such conditions on the implementation and operation of the Trading Plan as the Authorizing Officer deems necessary or advisable. However, compliance of the Trading Plan with the terms of Rule 10b5- 1 and the execution of transactions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 manner consistent with the Trading Plan are the sole responsibility of the person initiating the Trading Plan, not the Company or the Authorizing Officer.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Trading Plans do not exempt individuals from complying with Section 16 reporting obligations or from short-swing profit rules or liability. Furthermore, a Trading Plan only provides an “affirmative defense” in the event there is an insider trading lawsuit. It does not prevent someone from bringing a lawsuit.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director, officer or employee may enter into a Trading Plan only when he or she is not in possession of material, non-public information, and only during a trading window period outside of a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Officers, directors and employees may adopt Trading Plans with brokers that outline a pre-set plan for trading of the Company’s stock, including the exercise of options. Trades pursuant to a Trading Plan generally may occur at any time. However, a Trading Plan must include a minimum “cooling-off period” between the establishment of a Trading Plan and commencement of any transactions under such plan for: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16 reporting persons that extends to the later of (i) 90 days after adoption or modification of a Trading Plan, and (ii) two business days after filing the Form 10-K or Form 10-Q covering the fiscal quarter in which the Trading Plan was adopted or modified, as applicable, up to a maximum of 120 days;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employees who are not Section 16 reporting persons and any other persons, other than the Company, that extends 30 days after adoption or modification of a Trading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Individuals may not adopt more than one Trading Plan at a time except under the limited circumstances permitted by Rule 10b5-1 and subject to pre-approval by the Authorizing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Revocation of and Amendments to Trading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Revocation of Trading Plans should occur only in unusual circumstances. Effectiveness of any revocation or amendment of a Trading Plan will be subject to the prior review and approval of the Authorizing Officer. Revocation is effected upon written notice to the broker.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Under certain circumstances, a Trading Plan </w:t>
      </w:r>
      <w:r>
        <w:rPr>
          <w:rFonts w:ascii="Times New Roman" w:hAnsi="Times New Roman"/>
          <w:i/>
          <w:color w:val="000000"/>
          <w:sz w:val="24"/>
        </w:rPr>
        <w:t>must</w:t>
      </w:r>
      <w:r>
        <w:rPr>
          <w:rFonts w:ascii="Times New Roman" w:hAnsi="Times New Roman"/>
          <w:color w:val="000000"/>
          <w:sz w:val="20"/>
        </w:rPr>
        <w:t xml:space="preserve"> </w:t>
      </w:r>
      <w:r>
        <w:rPr>
          <w:rFonts w:ascii="Times New Roman" w:hAnsi="Times New Roman"/>
          <w:color w:val="000000"/>
          <w:sz w:val="24"/>
        </w:rPr>
        <w:t>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Discretionary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Although non-discretionary Trading Plans are preferred, discretionary Trading Plans, where the discretion or control over trading is transferred to a broker, are permitted if pre-approved by the Authorizing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Reporting (if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____.”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Options</w:t>
      </w:r>
    </w:p>
    <w:p>
      <w:pPr>
        <w:pStyle w:val="TextBody"/>
        <w:bidi w:val="0"/>
        <w:spacing w:before="0" w:after="240"/>
        <w:jc w:val="both"/>
        <w:rPr>
          <w:rFonts w:ascii="Times New Roman" w:hAnsi="Times New Roman"/>
          <w:sz w:val="20"/>
        </w:rPr>
      </w:pPr>
      <w:r>
        <w:rPr>
          <w:rFonts w:ascii="Times New Roman" w:hAnsi="Times New Roman"/>
          <w:color w:val="000000"/>
          <w:sz w:val="24"/>
        </w:rPr>
        <w:t>Exercises of options for cash may be executed at any time. “Cashless exercise” option exercises through a broker are subject to trading windows. However, the Company will permit same day sales under Trading Plans. If a broker is required to execute a cashless exercise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Trades Outside of a Trading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an open trading window, trades differing from Trading Plan instructions that are already in place are allowed as long as the Trading Plan continues to be followed.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Public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Prohibited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Limitation on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the Chief Executive Officer, the Chief Financial Officer, Chief Legal Officer,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Financial Officer, Chief Legal Officer, the Authorizing Officer, the Company’s other employees or any other person assumes any liability for the legality or consequences of such Trading Plan or transaction to the person engaging in or adopting such Trading Plan or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Execution and Return of Certification of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reading this Policy and on an annual basis, all officers, directors and employees should execute and return the Certification of Compliance form attached hereto as “Attachment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ATTACHMENT A</w:t>
      </w:r>
    </w:p>
    <w:p>
      <w:pPr>
        <w:pStyle w:val="TextBody"/>
        <w:bidi w:val="0"/>
        <w:spacing w:before="0" w:after="360"/>
        <w:jc w:val="center"/>
        <w:rPr>
          <w:rFonts w:ascii="Times New Roman" w:hAnsi="Times New Roman"/>
          <w:b/>
          <w:color w:val="000000"/>
          <w:sz w:val="24"/>
          <w:u w:val="single"/>
        </w:rPr>
      </w:pPr>
      <w:r>
        <w:rPr>
          <w:rFonts w:ascii="Times New Roman" w:hAnsi="Times New Roman"/>
          <w:b/>
          <w:color w:val="000000"/>
          <w:sz w:val="24"/>
          <w:u w:val="single"/>
        </w:rPr>
        <w:t>CERTIFICATION OF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have received, reviewed and understand the above-referenced Insider Trading Compliance Policy and undertake, as a condition to my present and continued employment with (or, if I am not an employee, affiliation with) Sight Sciences, Inc., to comply fully with the policies and procedures contained therein.</w:t>
      </w:r>
    </w:p>
    <w:tbl>
      <w:tblPr>
        <w:tblW w:w="2327" w:type="dxa"/>
        <w:jc w:val="left"/>
        <w:tblInd w:w="0" w:type="dxa"/>
        <w:tblLayout w:type="fixed"/>
        <w:tblCellMar>
          <w:top w:w="28" w:type="dxa"/>
          <w:left w:w="28" w:type="dxa"/>
          <w:bottom w:w="28" w:type="dxa"/>
          <w:right w:w="28" w:type="dxa"/>
        </w:tblCellMar>
      </w:tblPr>
      <w:tblGrid>
        <w:gridCol w:w="1516"/>
        <w:gridCol w:w="811"/>
      </w:tblGrid>
      <w:tr>
        <w:trPr/>
        <w:tc>
          <w:tcPr>
            <w:tcW w:w="15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600" w:after="283"/>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SIGNATURE</w:t>
            </w:r>
          </w:p>
          <w:p>
            <w:pPr>
              <w:pStyle w:val="TableContents"/>
              <w:bidi w:val="0"/>
              <w:spacing w:before="240" w:after="283"/>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TITLE</w:t>
            </w:r>
          </w:p>
        </w:tc>
        <w:tc>
          <w:tcPr>
            <w:tcW w:w="811" w:type="dxa"/>
            <w:tcBorders/>
            <w:tcMar>
              <w:top w:w="0" w:type="dxa"/>
              <w:left w:w="0" w:type="dxa"/>
              <w:bottom w:w="0" w:type="dxa"/>
              <w:right w:w="0" w:type="dxa"/>
            </w:tcMar>
            <w:vAlign w:val="center"/>
          </w:tcPr>
          <w:p>
            <w:pPr>
              <w:pStyle w:val="TableContents"/>
              <w:bidi w:val="0"/>
              <w:spacing w:before="600" w:after="283"/>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olor w:val="000000"/>
          <w:sz w:val="14"/>
        </w:rPr>
      </w:pPr>
      <w:r>
        <w:rPr>
          <w:rFonts w:ascii="Times New Roman" w:hAnsi="Times New Roman"/>
          <w:color w:val="000000"/>
          <w:sz w:val="14"/>
        </w:rPr>
        <w:t>December 2025</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rial" w:hAnsi="Arial"/>
          <w:b/>
          <w:color w:val="000000"/>
          <w:sz w:val="20"/>
        </w:rPr>
      </w:pPr>
      <w:bookmarkStart w:id="46" w:name="sght-ex23_1.htm"/>
      <w:bookmarkStart w:id="47" w:name="kssghtex23_1"/>
      <w:bookmarkEnd w:id="46"/>
      <w:bookmarkEnd w:id="47"/>
      <w:r>
        <w:rPr>
          <w:rFonts w:ascii="Arial" w:hAnsi="Arial"/>
          <w:b/>
          <w:color w:val="000000"/>
          <w:sz w:val="20"/>
        </w:rPr>
        <w:t>Exhibit 23.1</w:t>
      </w:r>
      <w:r>
        <w:br w:type="page"/>
      </w:r>
    </w:p>
    <w:p>
      <w:pPr>
        <w:pStyle w:val="TextBody"/>
        <w:bidi w:val="0"/>
        <w:spacing w:before="0" w:after="16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60"/>
        <w:jc w:val="left"/>
        <w:rPr>
          <w:rFonts w:ascii="Arial" w:hAnsi="Arial"/>
          <w:color w:val="000000"/>
          <w:sz w:val="20"/>
        </w:rPr>
      </w:pPr>
      <w:r>
        <w:rPr>
          <w:rFonts w:ascii="Arial" w:hAnsi="Arial"/>
          <w:color w:val="000000"/>
          <w:sz w:val="20"/>
        </w:rPr>
        <w:t>We consent to the incorporation by reference in Registration Statement No. 333-270629 on Form S-3 and Nos. 333-257936 and 333-270627 on Form S-8 of our report dated March 4, 2026 relating to the consolidated financial statements of Sight Sciences, Inc., appearing in this Annual Report on Form 10-K of Sight Sciences, Inc. for the year ended December 31, 2025.</w:t>
      </w:r>
    </w:p>
    <w:p>
      <w:pPr>
        <w:pStyle w:val="TextBody"/>
        <w:bidi w:val="0"/>
        <w:spacing w:before="0" w:after="160"/>
        <w:jc w:val="left"/>
        <w:rPr>
          <w:rFonts w:ascii="Arial" w:hAnsi="Arial"/>
          <w:color w:val="000000"/>
          <w:sz w:val="20"/>
        </w:rPr>
      </w:pPr>
      <w:r>
        <w:rPr>
          <w:rFonts w:ascii="Arial" w:hAnsi="Arial"/>
          <w:color w:val="000000"/>
          <w:sz w:val="20"/>
        </w:rPr>
        <w:t>/s/ DELOITTE &amp; TOUCHE LLP</w:t>
      </w:r>
    </w:p>
    <w:p>
      <w:pPr>
        <w:pStyle w:val="TextBody"/>
        <w:bidi w:val="0"/>
        <w:spacing w:before="0" w:after="160"/>
        <w:jc w:val="left"/>
        <w:rPr>
          <w:rFonts w:ascii="Arial" w:hAnsi="Arial"/>
          <w:color w:val="000000"/>
          <w:sz w:val="20"/>
        </w:rPr>
      </w:pPr>
      <w:r>
        <w:rPr>
          <w:rFonts w:ascii="Arial" w:hAnsi="Arial"/>
          <w:color w:val="000000"/>
          <w:sz w:val="20"/>
        </w:rPr>
        <w:t>San Jose, California</w:t>
      </w:r>
    </w:p>
    <w:p>
      <w:pPr>
        <w:pStyle w:val="TextBody"/>
        <w:bidi w:val="0"/>
        <w:spacing w:before="0" w:after="160"/>
        <w:jc w:val="left"/>
        <w:rPr>
          <w:rFonts w:ascii="Arial" w:hAnsi="Arial"/>
          <w:color w:val="000000"/>
          <w:sz w:val="20"/>
        </w:rPr>
      </w:pPr>
      <w:r>
        <w:rPr>
          <w:rFonts w:ascii="Arial" w:hAnsi="Arial"/>
          <w:color w:val="000000"/>
          <w:sz w:val="20"/>
        </w:rPr>
        <w:t>March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sght-ex24_1.htm"/>
      <w:bookmarkStart w:id="49" w:name="kssghtex24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24.1</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Paul Badawi and James Rodberg, and each of them individually, his and her true and lawful attorneys-in-fact and agents, with full power of substitution and resubstitution, for him and her and in his and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556" w:type="dxa"/>
        <w:jc w:val="left"/>
        <w:tblInd w:w="0" w:type="dxa"/>
        <w:tblLayout w:type="fixed"/>
        <w:tblCellMar>
          <w:top w:w="28" w:type="dxa"/>
          <w:left w:w="28" w:type="dxa"/>
          <w:bottom w:w="28" w:type="dxa"/>
          <w:right w:w="28" w:type="dxa"/>
        </w:tblCellMar>
      </w:tblPr>
      <w:tblGrid>
        <w:gridCol w:w="2041"/>
        <w:gridCol w:w="109"/>
        <w:gridCol w:w="3961"/>
        <w:gridCol w:w="109"/>
        <w:gridCol w:w="1336"/>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Signature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Paul Badawi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and Director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Paul Badawi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James Rodberg</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Rodberg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and Accounting Officer)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Staffan Encrantz</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of the Board of Directors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Staffan Encrantz</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David Badawi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Technology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 Badawi,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Tamara Fountain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Tamara Fountain,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Gerhard Burbach</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Gerhard Burbach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Catherine Mazzacco</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Catherine Mazzacco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Donald Zurbay</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Donald Zurbay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sght-ex31_1.htm"/>
      <w:bookmarkStart w:id="51" w:name="kssghtex31_1"/>
      <w:bookmarkEnd w:id="50"/>
      <w:bookmarkEnd w:id="51"/>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pBdr>
          <w:bottom w:val="single" w:sz="6" w:space="1" w:color="000000"/>
        </w:pBdr>
        <w:bidi w:val="0"/>
        <w:jc w:val="left"/>
        <w:rPr/>
      </w:pPr>
      <w:r>
        <w:rPr/>
        <w:t> </w:t>
      </w:r>
    </w:p>
    <w:tbl>
      <w:tblPr>
        <w:tblW w:w="4292" w:type="dxa"/>
        <w:jc w:val="left"/>
        <w:tblInd w:w="0" w:type="dxa"/>
        <w:tblLayout w:type="fixed"/>
        <w:tblCellMar>
          <w:top w:w="28" w:type="dxa"/>
          <w:left w:w="28" w:type="dxa"/>
          <w:bottom w:w="28" w:type="dxa"/>
          <w:right w:w="28" w:type="dxa"/>
        </w:tblCellMar>
      </w:tblPr>
      <w:tblGrid>
        <w:gridCol w:w="1786"/>
        <w:gridCol w:w="2506"/>
      </w:tblGrid>
      <w:tr>
        <w:trPr/>
        <w:tc>
          <w:tcPr>
            <w:tcW w:w="178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2026</w:t>
            </w:r>
          </w:p>
        </w:tc>
        <w:tc>
          <w:tcPr>
            <w:tcW w:w="25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Badawi</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Paul Badawi</w:t>
            </w:r>
          </w:p>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sght-ex31_2.htm"/>
      <w:bookmarkStart w:id="53" w:name="kssghtex31_2"/>
      <w:bookmarkEnd w:id="52"/>
      <w:bookmarkEnd w:id="53"/>
      <w:r>
        <w:rPr>
          <w:rFonts w:ascii="Times New Roman" w:hAnsi="Times New Roman"/>
          <w:b/>
          <w:color w:val="000000"/>
          <w:sz w:val="20"/>
        </w:rPr>
        <w:t>Exhibit 32.2</w:t>
      </w:r>
      <w:r>
        <w:br w:type="page"/>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James Rodberg,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pBdr>
          <w:bottom w:val="single" w:sz="6" w:space="1" w:color="000000"/>
        </w:pBdr>
        <w:bidi w:val="0"/>
        <w:jc w:val="left"/>
        <w:rPr/>
      </w:pPr>
      <w:r>
        <w:rPr/>
        <w:t> </w:t>
      </w:r>
    </w:p>
    <w:tbl>
      <w:tblPr>
        <w:tblW w:w="5657" w:type="dxa"/>
        <w:jc w:val="left"/>
        <w:tblInd w:w="0" w:type="dxa"/>
        <w:tblLayout w:type="fixed"/>
        <w:tblCellMar>
          <w:top w:w="28" w:type="dxa"/>
          <w:left w:w="28" w:type="dxa"/>
          <w:bottom w:w="28" w:type="dxa"/>
          <w:right w:w="28" w:type="dxa"/>
        </w:tblCellMar>
      </w:tblPr>
      <w:tblGrid>
        <w:gridCol w:w="1786"/>
        <w:gridCol w:w="3871"/>
      </w:tblGrid>
      <w:tr>
        <w:trPr/>
        <w:tc>
          <w:tcPr>
            <w:tcW w:w="178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2026</w:t>
            </w:r>
          </w:p>
        </w:tc>
        <w:tc>
          <w:tcPr>
            <w:tcW w:w="38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Rodberg</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James Rodberg</w:t>
              <w:b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sght-ex32_1.htm"/>
      <w:bookmarkStart w:id="55" w:name="kssghtex32_1"/>
      <w:bookmarkEnd w:id="54"/>
      <w:bookmarkEnd w:id="55"/>
      <w:r>
        <w:rPr>
          <w:rFonts w:ascii="Times New Roman" w:hAnsi="Times New Roman"/>
          <w:b/>
          <w:color w:val="000000"/>
          <w:sz w:val="20"/>
        </w:rPr>
        <w:t>Exhibit 32.1</w:t>
      </w:r>
      <w:r>
        <w:br w:type="page"/>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Annual Report on Form 10-K of the Company for the period ended December 31,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Dated: March 4, 2026 </w:t>
      </w:r>
      <w:r>
        <w:rPr>
          <w:rFonts w:ascii="Times New Roman" w:hAnsi="Times New Roman"/>
          <w:color w:val="000000"/>
          <w:sz w:val="20"/>
          <w:u w:val="single"/>
        </w:rPr>
        <w:t xml:space="preserve">/s/ Paul Badawi </w:t>
      </w:r>
    </w:p>
    <w:p>
      <w:pPr>
        <w:pStyle w:val="TextBody"/>
        <w:bidi w:val="0"/>
        <w:jc w:val="both"/>
        <w:rPr>
          <w:rFonts w:ascii="Times New Roman" w:hAnsi="Times New Roman"/>
          <w:color w:val="000000"/>
          <w:sz w:val="20"/>
        </w:rPr>
      </w:pPr>
      <w:r>
        <w:rPr>
          <w:rFonts w:ascii="Times New Roman" w:hAnsi="Times New Roman"/>
          <w:color w:val="000000"/>
          <w:sz w:val="20"/>
        </w:rPr>
        <w:t>Paul Badawi</w:t>
      </w:r>
    </w:p>
    <w:p>
      <w:pPr>
        <w:pStyle w:val="TextBody"/>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both"/>
        <w:rPr>
          <w:rFonts w:ascii="Times New Roman" w:hAnsi="Times New Roman"/>
          <w:color w:val="000000"/>
          <w:sz w:val="20"/>
        </w:rPr>
      </w:pPr>
      <w:r>
        <w:rPr>
          <w:rFonts w:ascii="Times New Roman" w:hAnsi="Times New Roman"/>
          <w:color w:val="000000"/>
          <w:sz w:val="20"/>
        </w:rPr>
        <w:t>(Principal Executive Officer)</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sght-ex32_2.htm"/>
      <w:bookmarkStart w:id="57" w:name="kssghtex32_2"/>
      <w:bookmarkEnd w:id="56"/>
      <w:bookmarkEnd w:id="57"/>
      <w:r>
        <w:rPr>
          <w:rFonts w:ascii="Times New Roman" w:hAnsi="Times New Roman"/>
          <w:b/>
          <w:color w:val="000000"/>
          <w:sz w:val="20"/>
        </w:rPr>
        <w:t>Exhibit 32.2</w:t>
      </w:r>
      <w:r>
        <w:br w:type="page"/>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Annual Report on Form 10-K of the Company for the period ended December 31,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Dated: March 4, 2026 </w:t>
      </w:r>
      <w:r>
        <w:rPr>
          <w:rFonts w:ascii="Times New Roman" w:hAnsi="Times New Roman"/>
          <w:color w:val="000000"/>
          <w:sz w:val="20"/>
          <w:u w:val="single"/>
        </w:rPr>
        <w:t xml:space="preserve">/s/ James Rodberg </w:t>
      </w:r>
    </w:p>
    <w:p>
      <w:pPr>
        <w:pStyle w:val="TextBody"/>
        <w:bidi w:val="0"/>
        <w:jc w:val="both"/>
        <w:rPr>
          <w:rFonts w:ascii="Times New Roman" w:hAnsi="Times New Roman"/>
          <w:color w:val="000000"/>
          <w:sz w:val="20"/>
        </w:rPr>
      </w:pPr>
      <w:r>
        <w:rPr>
          <w:rFonts w:ascii="Times New Roman" w:hAnsi="Times New Roman"/>
          <w:color w:val="000000"/>
          <w:sz w:val="20"/>
        </w:rPr>
        <w:t>James Rodberg</w:t>
      </w:r>
    </w:p>
    <w:p>
      <w:pPr>
        <w:pStyle w:val="TextBody"/>
        <w:bidi w:val="0"/>
        <w:jc w:val="both"/>
        <w:rPr>
          <w:rFonts w:ascii="Times New Roman" w:hAnsi="Times New Roman"/>
          <w:color w:val="000000"/>
          <w:sz w:val="20"/>
        </w:rPr>
      </w:pPr>
      <w:r>
        <w:rPr>
          <w:rFonts w:ascii="Times New Roman" w:hAnsi="Times New Roman"/>
          <w:color w:val="000000"/>
          <w:sz w:val="20"/>
        </w:rPr>
        <w:t>Chief Financial Officer</w:t>
      </w:r>
    </w:p>
    <w:p>
      <w:pPr>
        <w:pStyle w:val="TextBody"/>
        <w:bidi w:val="0"/>
        <w:jc w:val="both"/>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hyperlink" Target="https://www.sec.gov/Archives/edgar/data/1531177/000119312521218705/d116785dex32.htm" TargetMode="External"/><Relationship Id="rId5" Type="http://schemas.openxmlformats.org/officeDocument/2006/relationships/hyperlink" Target="https://www.sec.gov/Archives/edgar/data/1531177/000119312521210231/d90195dex41.htm" TargetMode="External"/><Relationship Id="rId6" Type="http://schemas.openxmlformats.org/officeDocument/2006/relationships/hyperlink" Target="https://www.sec.gov/Archives/edgar/data/1531177/000119312521210231/d90195dex41.htm" TargetMode="External"/><Relationship Id="rId7" Type="http://schemas.openxmlformats.org/officeDocument/2006/relationships/hyperlink" Target="https://www.sec.gov/Archives/edgar/data/1531177/000119312521210231/d90195dex42.htm" TargetMode="External"/><Relationship Id="rId8" Type="http://schemas.openxmlformats.org/officeDocument/2006/relationships/hyperlink" Target="https://www.sec.gov/Archives/edgar/data/1531177/000095017024030278/sght-ex4_3.htm" TargetMode="External"/><Relationship Id="rId9" Type="http://schemas.openxmlformats.org/officeDocument/2006/relationships/hyperlink" Target="https://www.sec.gov/Archives/edgar/data/1531177/000119312524012979/d715146dex41.htm" TargetMode="External"/><Relationship Id="rId10" Type="http://schemas.openxmlformats.org/officeDocument/2006/relationships/hyperlink" Target="https://www.sec.gov/Archives/edgar/data/1531177/000119312521197314/d90195dex101.htm" TargetMode="External"/><Relationship Id="rId11" Type="http://schemas.openxmlformats.org/officeDocument/2006/relationships/hyperlink" Target="https://www.sec.gov/Archives/edgar/data/1531177/000119312521210231/d90195dex102.htm" TargetMode="External"/><Relationship Id="rId12" Type="http://schemas.openxmlformats.org/officeDocument/2006/relationships/hyperlink" Target="https://www.sec.gov/Archives/edgar/data/1531177/000095017022008993/sght-ex10_1.htm" TargetMode="External"/><Relationship Id="rId13" Type="http://schemas.openxmlformats.org/officeDocument/2006/relationships/hyperlink" Target="https://www.sec.gov/Archives/edgar/data/1531177/000095017025035500/sght-ex10_4.htm" TargetMode="External"/><Relationship Id="rId14" Type="http://schemas.openxmlformats.org/officeDocument/2006/relationships/hyperlink" Target="https://www.sec.gov/Archives/edgar/data/1531177/000119312521210231/d90195dex104.htm" TargetMode="External"/><Relationship Id="rId15" Type="http://schemas.openxmlformats.org/officeDocument/2006/relationships/hyperlink" Target="https://www.sec.gov/Archives/edgar/data/1531177/000119312521210231/d90195dex105.htm" TargetMode="External"/><Relationship Id="rId16" Type="http://schemas.openxmlformats.org/officeDocument/2006/relationships/hyperlink" Target="https://www.sec.gov/Archives/edgar/data/1531177/000119312521210231/d90195dex1011.htm" TargetMode="External"/><Relationship Id="rId17" Type="http://schemas.openxmlformats.org/officeDocument/2006/relationships/hyperlink" Target="https://www.sec.gov/Archives/edgar/data/1531177/000119312521210231/d90195dex1014.htm" TargetMode="External"/><Relationship Id="rId18" Type="http://schemas.openxmlformats.org/officeDocument/2006/relationships/hyperlink" Target="https://www.sec.gov/Archives/edgar/data/1531177/000095017023008526/sght-ex10_10.htm" TargetMode="External"/><Relationship Id="rId19" Type="http://schemas.openxmlformats.org/officeDocument/2006/relationships/hyperlink" Target="https://www.sec.gov/Archives/edgar/data/1531177/000095017025035500/sght-ex10_12.htm" TargetMode="External"/><Relationship Id="rId20" Type="http://schemas.openxmlformats.org/officeDocument/2006/relationships/hyperlink" Target="https://www.sec.gov/Archives/edgar/data/1531177/000119312521197314/d90195dex107.htm" TargetMode="External"/><Relationship Id="rId21" Type="http://schemas.openxmlformats.org/officeDocument/2006/relationships/hyperlink" Target="https://www.sec.gov/Archives/edgar/data/1531177/000095017024030278/sght-ex10_14.htm" TargetMode="External"/><Relationship Id="rId22" Type="http://schemas.openxmlformats.org/officeDocument/2006/relationships/hyperlink" Target="https://www.sec.gov/Archives/edgar/data/1531177/000119312521197314/d90195dex1010.htm" TargetMode="External"/><Relationship Id="rId23" Type="http://schemas.openxmlformats.org/officeDocument/2006/relationships/hyperlink" Target="https://www.sec.gov/Archives/edgar/data/1531177/000095017022004563/sght-ex10_15.htm" TargetMode="External"/><Relationship Id="rId24" Type="http://schemas.openxmlformats.org/officeDocument/2006/relationships/hyperlink" Target="https://www.sec.gov/Archives/edgar/data/1531177/000095017022024483/sght-ex10_1.htm" TargetMode="External"/><Relationship Id="rId25" Type="http://schemas.openxmlformats.org/officeDocument/2006/relationships/hyperlink" Target="https://www.sec.gov/Archives/edgar/data/1531177/000119312524012979/d715146dex101.htm" TargetMode="External"/><Relationship Id="rId26" Type="http://schemas.openxmlformats.org/officeDocument/2006/relationships/hyperlink" Target="https://www.sec.gov/Archives/edgar/data/1531177/000119312525225041/sght-ex10_1.htm" TargetMode="External"/><Relationship Id="rId27" Type="http://schemas.openxmlformats.org/officeDocument/2006/relationships/hyperlink" Target="https://www.sec.gov/Archives/edgar/data/1531177/000095017024030278/sght-ex21_1.htm" TargetMode="External"/><Relationship Id="rId28" Type="http://schemas.openxmlformats.org/officeDocument/2006/relationships/hyperlink" Target="https://www.sec.gov/Archives/edgar/data/1531177/000095017024030278/sght-ex97_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101257</Words>
  <Characters>565957</Characters>
  <CharactersWithSpaces>665956</CharactersWithSpaces>
  <Paragraphs>7054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