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Badawi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SIGHT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4040 CAMPBELL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Sight Sciences, Inc.</w:t>
              </w:r>
            </w:hyperlink>
            <w:r>
              <w:rPr/>
              <w:t xml:space="preserve"> [ </w:t>
            </w:r>
            <w:r>
              <w:rPr>
                <w:rFonts w:ascii="Times;serif" w:hAnsi="Times;serif"/>
                <w:color w:val="0000FF"/>
                <w:sz w:val="24"/>
                <w:shd w:fill="FFFFFF" w:val="clear"/>
              </w:rPr>
              <w:t>SGHT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58"/>
        <w:gridCol w:w="438"/>
        <w:gridCol w:w="789"/>
        <w:gridCol w:w="1301"/>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29,653</w:t>
            </w:r>
            <w:r>
              <w:rPr>
                <w:rFonts w:ascii="Times;serif" w:hAnsi="Times;serif"/>
                <w:color w:val="008000"/>
                <w:position w:val="7"/>
                <w:sz w:val="16"/>
                <w:sz w:val="20"/>
                <w:shd w:fill="FFFFFF" w:val="clear"/>
              </w:rPr>
              <w:t>(1)</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9.049</w:t>
            </w:r>
            <w:r>
              <w:rPr>
                <w:rFonts w:ascii="Times;serif" w:hAnsi="Times;serif"/>
                <w:color w:val="008000"/>
                <w:position w:val="7"/>
                <w:sz w:val="16"/>
                <w:sz w:val="20"/>
                <w:shd w:fill="FFFFFF" w:val="clear"/>
              </w:rPr>
              <w:t>(2)</w:t>
            </w:r>
          </w:p>
        </w:tc>
        <w:tc>
          <w:tcPr>
            <w:tcW w:w="13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6,092,819</w:t>
            </w:r>
            <w:r>
              <w:rPr>
                <w:rFonts w:ascii="Times;serif" w:hAnsi="Times;serif"/>
                <w:color w:val="008000"/>
                <w:position w:val="7"/>
                <w:sz w:val="16"/>
                <w:sz w:val="20"/>
                <w:shd w:fill="FFFFFF" w:val="clear"/>
              </w:rPr>
              <w:t>(3)</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the Issuer's common stock, par value $0.001 per share ("Common Stock"), sold to cover the Reporting Person's tax liability in connection with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at which the shares of Common Stock were sold. The shares were sold in multiple transactions at prices ranging from $8.87 to $9.25,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5,599,542 shares of Common Stock, and (ii) 493,277 shares of Common Stock which shall be acquired upon the vesting and settlement of RSUs that have not yet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/s/Kashif Rashid, Attorney-in-Fact for Paul Badawi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0865" TargetMode="External"/><Relationship Id="rId5" Type="http://schemas.openxmlformats.org/officeDocument/2006/relationships/hyperlink" Target="http://www.sec.gov/cgi-bin/browse-edgar?action=getcompany&amp;CIK=00015311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710</Words>
  <Characters>3833</Characters>
  <CharactersWithSpaces>4473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