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840" w:hanging="4079"/>
        <w:spacing w:after="0" w:line="334"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SIGHT SCIENCES, INC.</w:t>
      </w:r>
    </w:p>
    <w:p>
      <w:pPr>
        <w:sectPr>
          <w:pgSz w:w="11900" w:h="16838" w:orient="portrait"/>
          <w:cols w:equalWidth="0" w:num="1">
            <w:col w:w="11240"/>
          </w:cols>
          <w:pgMar w:left="320" w:top="1073"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4040 Campbell Ave, Suite 100</w:t>
      </w:r>
    </w:p>
    <w:p>
      <w:pPr>
        <w:spacing w:after="0" w:line="4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Menlo Park, CA</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80-0625749</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94025</w:t>
      </w:r>
    </w:p>
    <w:p>
      <w:pPr>
        <w:spacing w:after="0" w:line="38" w:lineRule="exact"/>
        <w:rPr>
          <w:sz w:val="24"/>
          <w:szCs w:val="24"/>
          <w:color w:val="auto"/>
        </w:rPr>
      </w:pPr>
    </w:p>
    <w:p>
      <w:pPr>
        <w:sectPr>
          <w:pgSz w:w="11900" w:h="16838" w:orient="portrait"/>
          <w:cols w:equalWidth="0" w:num="2">
            <w:col w:w="7460" w:space="480"/>
            <w:col w:w="3300"/>
          </w:cols>
          <w:pgMar w:left="320" w:top="1073"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5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(877) 266-1144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68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ind w:right="80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120" w:type="dxa"/>
            <w:vAlign w:val="bottom"/>
          </w:tcPr>
          <w:p>
            <w:pPr>
              <w:spacing w:after="0"/>
              <w:rPr>
                <w:sz w:val="19"/>
                <w:szCs w:val="19"/>
                <w:color w:val="auto"/>
              </w:rPr>
            </w:pPr>
          </w:p>
        </w:tc>
        <w:tc>
          <w:tcPr>
            <w:tcW w:w="2680" w:type="dxa"/>
            <w:vAlign w:val="bottom"/>
            <w:gridSpan w:val="3"/>
          </w:tcPr>
          <w:p>
            <w:pPr>
              <w:jc w:val="center"/>
              <w:ind w:right="1000"/>
              <w:spacing w:after="0"/>
              <w:rPr>
                <w:sz w:val="20"/>
                <w:szCs w:val="20"/>
                <w:color w:val="auto"/>
              </w:rPr>
            </w:pPr>
            <w:r>
              <w:rPr>
                <w:rFonts w:ascii="Times New Roman" w:cs="Times New Roman" w:eastAsia="Times New Roman" w:hAnsi="Times New Roman"/>
                <w:sz w:val="15"/>
                <w:szCs w:val="15"/>
                <w:color w:val="auto"/>
              </w:rPr>
              <w:t>SGHT</w:t>
            </w:r>
          </w:p>
        </w:tc>
        <w:tc>
          <w:tcPr>
            <w:tcW w:w="4160" w:type="dxa"/>
            <w:vAlign w:val="bottom"/>
          </w:tcPr>
          <w:p>
            <w:pPr>
              <w:jc w:val="center"/>
              <w:ind w:right="807"/>
              <w:spacing w:after="0"/>
              <w:rPr>
                <w:sz w:val="20"/>
                <w:szCs w:val="20"/>
                <w:color w:val="auto"/>
              </w:rPr>
            </w:pPr>
            <w:r>
              <w:rPr>
                <w:rFonts w:ascii="Times New Roman" w:cs="Times New Roman" w:eastAsia="Times New Roman" w:hAnsi="Times New Roman"/>
                <w:sz w:val="15"/>
                <w:szCs w:val="15"/>
                <w:color w:val="auto"/>
              </w:rPr>
              <w:t>The Nasdaq Global Select Market</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11240" w:type="dxa"/>
            <w:vAlign w:val="bottom"/>
            <w:gridSpan w:val="6"/>
          </w:tcPr>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42"/>
        </w:trPr>
        <w:tc>
          <w:tcPr>
            <w:tcW w:w="708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p>
        </w:tc>
        <w:tc>
          <w:tcPr>
            <w:tcW w:w="416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8" w:lineRule="exact"/>
        <w:rPr>
          <w:sz w:val="24"/>
          <w:szCs w:val="24"/>
          <w:color w:val="auto"/>
        </w:rPr>
      </w:pPr>
    </w:p>
    <w:p>
      <w:pPr>
        <w:ind w:right="5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4"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As of June 30, 2023, the last business day of the Registrant's most recently completed second fiscal quarter, the aggregate market value of the Registrant's common stock held by non-affiliates was approximately $301.8 million based on the closing price for the Registrant's common stock of $8.28 on that date. Shares of common stock held by each executive, director, and their affiliated stockholders have been excluded from this calculation as such persons may be deemed to be affiliates. This determination of affiliate status is not necessarily a conclusive determination for other purposes.</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March 5, 2024 was 49,553,371.</w:t>
      </w:r>
    </w:p>
    <w:p>
      <w:pPr>
        <w:spacing w:after="0" w:line="4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type w:val="continuous"/>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2024 Annual Meeting of Stockholders to be filed with the SEC within 120 days after the end of the fiscal year ended December 31, 2023 are incorporated herein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832" w:right="8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80" w:type="dxa"/>
            <w:vAlign w:val="bottom"/>
          </w:tcPr>
          <w:p>
            <w:pPr>
              <w:spacing w:after="0"/>
              <w:rPr>
                <w:sz w:val="16"/>
                <w:szCs w:val="16"/>
                <w:color w:val="auto"/>
              </w:rPr>
            </w:pPr>
          </w:p>
        </w:tc>
        <w:tc>
          <w:tcPr>
            <w:tcW w:w="91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80" w:type="dxa"/>
            <w:vAlign w:val="bottom"/>
            <w:gridSpan w:val="23"/>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5"/>
        </w:trPr>
        <w:tc>
          <w:tcPr>
            <w:tcW w:w="1280" w:type="dxa"/>
            <w:vAlign w:val="bottom"/>
            <w:vMerge w:val="continue"/>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7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7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47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898"/>
        </w:trPr>
        <w:tc>
          <w:tcPr>
            <w:tcW w:w="1280" w:type="dxa"/>
            <w:vAlign w:val="bottom"/>
          </w:tcPr>
          <w:p>
            <w:pPr>
              <w:spacing w:after="0"/>
              <w:rPr>
                <w:sz w:val="24"/>
                <w:szCs w:val="24"/>
                <w:color w:val="auto"/>
              </w:rPr>
            </w:pPr>
          </w:p>
        </w:tc>
        <w:tc>
          <w:tcPr>
            <w:tcW w:w="1540" w:type="dxa"/>
            <w:vAlign w:val="bottom"/>
            <w:tcBorders>
              <w:top w:val="single" w:sz="8" w:color="0000FF"/>
            </w:tcBorders>
            <w:gridSpan w:val="7"/>
          </w:tcPr>
          <w:p>
            <w:pPr>
              <w:spacing w:after="0"/>
              <w:rPr>
                <w:sz w:val="24"/>
                <w:szCs w:val="24"/>
                <w:color w:val="auto"/>
              </w:rPr>
            </w:pPr>
          </w:p>
        </w:tc>
        <w:tc>
          <w:tcPr>
            <w:tcW w:w="3340" w:type="dxa"/>
            <w:vAlign w:val="bottom"/>
            <w:gridSpan w:val="10"/>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on Form 10-K to the “Company,” “Sight Sciences,” “we,” “us” and “our” refer to Sight Sciences, Inc.</w:t>
      </w:r>
    </w:p>
    <w:p>
      <w:pPr>
        <w:spacing w:after="0" w:line="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2023 (this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80" w:lineRule="exact"/>
        <w:rPr>
          <w:sz w:val="20"/>
          <w:szCs w:val="20"/>
          <w:color w:val="auto"/>
        </w:rPr>
      </w:pPr>
    </w:p>
    <w:p>
      <w:pPr>
        <w:ind w:left="960" w:right="220" w:hanging="323"/>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reimbursement for our products, including our ability to successfully protect reimbursement for our Surgical Glaucoma products;</w:t>
      </w:r>
    </w:p>
    <w:p>
      <w:pPr>
        <w:spacing w:after="0" w:line="53"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total addressable market, future revenue, expenses,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compete in new markets;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strategic realignment of our operations, including our reduction in workforce and related cost-savings initiatives;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and retain favorable payment terms under, our current secured credit facility;</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infrastructure to achieve our business objectives;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extensive government regulation;</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reimbursement for our products;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abilities to protect and scale our intellectual property portfolio;</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in future offerings;</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time during which we will be an emerging growth company under the Jumpstart Our Business Startups Act; and</w:t>
      </w:r>
    </w:p>
    <w:p>
      <w:pPr>
        <w:spacing w:after="0" w:line="11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Annual Report on Form 10-K. Moreover, we operate in a</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t>highly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 cautionary statements.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68" w:lineRule="exact"/>
        <w:rPr>
          <w:sz w:val="20"/>
          <w:szCs w:val="20"/>
          <w:color w:val="auto"/>
        </w:rPr>
      </w:pPr>
    </w:p>
    <w:p>
      <w:pPr>
        <w:ind w:left="960" w:right="180" w:hanging="323"/>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company with a history of significant losses, expect to incur losses in the future, and we may not be able to achieve or sustain profitability, which may make it difficult to evaluate the success of our business to date and to assess the prospects for our future viability;</w:t>
      </w:r>
    </w:p>
    <w:p>
      <w:pPr>
        <w:spacing w:after="0" w:line="67" w:lineRule="exact"/>
        <w:rPr>
          <w:rFonts w:ascii="Times New Roman" w:cs="Times New Roman" w:eastAsia="Times New Roman" w:hAnsi="Times New Roman"/>
          <w:sz w:val="18"/>
          <w:szCs w:val="18"/>
          <w:color w:val="auto"/>
        </w:rPr>
      </w:pPr>
    </w:p>
    <w:p>
      <w:pPr>
        <w:ind w:left="960" w:hanging="323"/>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our three current commercial products, particularly our OMNI® Surgical System (“OMNI”) and our inability to successfully execute our growth strategy could negatively affect our results of operations and financial condition. Procedures associated with our OMNI system recently experienced coverage and reimbursement uncertainties. Our SION® Surgical Instrument (“SION”) underwent its initial commercial launch in the second half of 2022, and is in the early stages of customer awareness, acceptance and utilization. The successful widespread adoption of our TearCare® System (“TearCare”) depends on our ability to drive equitable payor coverage and reimbursement to drive customer acceptance and widespread adoption;</w:t>
      </w:r>
    </w:p>
    <w:p>
      <w:pPr>
        <w:spacing w:after="0" w:line="79"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the broad adoption of our products by eyecare professionals and patients;</w:t>
      </w:r>
    </w:p>
    <w:p>
      <w:pPr>
        <w:spacing w:after="0" w:line="117" w:lineRule="exact"/>
        <w:rPr>
          <w:rFonts w:ascii="Times New Roman" w:cs="Times New Roman" w:eastAsia="Times New Roman" w:hAnsi="Times New Roman"/>
          <w:sz w:val="18"/>
          <w:szCs w:val="18"/>
          <w:color w:val="auto"/>
        </w:rPr>
      </w:pPr>
    </w:p>
    <w:p>
      <w:pPr>
        <w:ind w:left="960" w:right="220" w:hanging="323"/>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incrementally secure or maintain adequate levels of third-party coverage and reimbursement for procedures in which our Surgical Glaucoma or Dry Eye products are used, and third parties may rescind or modify their coverage or delay payments related to these products, which will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960" w:right="140" w:hanging="323"/>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products is highly competitive. Our competitors may have longer operating histories, more established products and greater resources than we do, and may be able to develop or market treatments that are safer, more effective or gain greater acceptance in the marketplace than our products;</w:t>
      </w:r>
    </w:p>
    <w:p>
      <w:pPr>
        <w:spacing w:after="0" w:line="67" w:lineRule="exact"/>
        <w:rPr>
          <w:rFonts w:ascii="Times New Roman" w:cs="Times New Roman" w:eastAsia="Times New Roman" w:hAnsi="Times New Roman"/>
          <w:sz w:val="18"/>
          <w:szCs w:val="18"/>
          <w:color w:val="auto"/>
        </w:rPr>
      </w:pPr>
    </w:p>
    <w:p>
      <w:pPr>
        <w:ind w:left="960" w:hanging="32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our products depends upon appropriate physician training, practice and patient selection;</w:t>
      </w:r>
    </w:p>
    <w:p>
      <w:pPr>
        <w:spacing w:after="0" w:line="117" w:lineRule="exact"/>
        <w:rPr>
          <w:rFonts w:ascii="Times New Roman" w:cs="Times New Roman" w:eastAsia="Times New Roman" w:hAnsi="Times New Roman"/>
          <w:sz w:val="18"/>
          <w:szCs w:val="18"/>
          <w:color w:val="auto"/>
        </w:rPr>
      </w:pPr>
    </w:p>
    <w:p>
      <w:pPr>
        <w:ind w:left="960" w:right="80" w:hanging="323"/>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products for expanded indications depends upon positive clinical data, and the safety and efficacy of our products for the intended uses for which we intend to seek clearance, certification or approval are not yet supported by long-term clinical data, which could delay or prevent clearance by the FDA (or other foreign authorities or notified bodies) or limit sales if cleared, certified or approved and our products might therefore prove to be less safe or effective than initially thought;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 w:name="page6"/>
    <w:bookmarkEnd w:id="5"/>
    <w:p>
      <w:pPr>
        <w:ind w:left="323" w:right="140"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and supply our products, many of which are single-source providers, and we are subject to numerous risks relating to our reliance on third parties;</w:t>
      </w:r>
    </w:p>
    <w:p>
      <w:pPr>
        <w:spacing w:after="0" w:line="53" w:lineRule="exact"/>
        <w:rPr>
          <w:rFonts w:ascii="Times New Roman" w:cs="Times New Roman" w:eastAsia="Times New Roman" w:hAnsi="Times New Roman"/>
          <w:sz w:val="18"/>
          <w:szCs w:val="18"/>
          <w:color w:val="auto"/>
        </w:rPr>
      </w:pPr>
    </w:p>
    <w:p>
      <w:pPr>
        <w:ind w:left="323" w:right="220"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current global economic and political conditions could adversely affect our ability to predict product demand and impact our financial results, and makes it more likely that our actual results could differ materially from expectations;</w:t>
      </w:r>
    </w:p>
    <w:p>
      <w:pPr>
        <w:spacing w:after="0" w:line="53" w:lineRule="exact"/>
        <w:rPr>
          <w:rFonts w:ascii="Times New Roman" w:cs="Times New Roman" w:eastAsia="Times New Roman" w:hAnsi="Times New Roman"/>
          <w:sz w:val="18"/>
          <w:szCs w:val="18"/>
          <w:color w:val="auto"/>
        </w:rPr>
      </w:pPr>
    </w:p>
    <w:p>
      <w:pPr>
        <w:ind w:left="323" w:right="420"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some of our products is not yet supported by long-term clinical data, which could limit sales, and our products might therefore prove to be less safe or effective than initially thought;</w:t>
      </w:r>
    </w:p>
    <w:p>
      <w:pPr>
        <w:spacing w:after="0" w:line="53" w:lineRule="exact"/>
        <w:rPr>
          <w:rFonts w:ascii="Times New Roman" w:cs="Times New Roman" w:eastAsia="Times New Roman" w:hAnsi="Times New Roman"/>
          <w:sz w:val="18"/>
          <w:szCs w:val="18"/>
          <w:color w:val="auto"/>
        </w:rPr>
      </w:pPr>
    </w:p>
    <w:p>
      <w:pPr>
        <w:ind w:left="323" w:right="220"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training on, and marketing and selling, our products and we may provide inadequate training, fail to increase our sales and marketing capabilities or fail to develop broad brand awareness in a cost-effective manner;</w:t>
      </w:r>
    </w:p>
    <w:p>
      <w:pPr>
        <w:spacing w:after="0" w:line="53" w:lineRule="exact"/>
        <w:rPr>
          <w:rFonts w:ascii="Times New Roman" w:cs="Times New Roman" w:eastAsia="Times New Roman" w:hAnsi="Times New Roman"/>
          <w:sz w:val="18"/>
          <w:szCs w:val="18"/>
          <w:color w:val="auto"/>
        </w:rPr>
      </w:pPr>
    </w:p>
    <w:p>
      <w:pPr>
        <w:ind w:left="323" w:right="140" w:hanging="323"/>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designed to be used in a limited number of procedures, and there is a limited total addressable market for our products. The sizes of the potential and actual markets for our current products have not been established with precision and may be smaller than we estimate;</w:t>
      </w:r>
    </w:p>
    <w:p>
      <w:pPr>
        <w:spacing w:after="0" w:line="67" w:lineRule="exact"/>
        <w:rPr>
          <w:rFonts w:ascii="Times New Roman" w:cs="Times New Roman" w:eastAsia="Times New Roman" w:hAnsi="Times New Roman"/>
          <w:sz w:val="18"/>
          <w:szCs w:val="18"/>
          <w:color w:val="auto"/>
        </w:rPr>
      </w:pPr>
    </w:p>
    <w:p>
      <w:pPr>
        <w:ind w:left="323" w:hanging="323"/>
        <w:spacing w:after="0"/>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our, and any of our future licensors’, ability to obtain, maintain and protect our intellectual property rights;</w:t>
      </w:r>
    </w:p>
    <w:p>
      <w:pPr>
        <w:spacing w:after="0" w:line="117" w:lineRule="exact"/>
        <w:rPr>
          <w:rFonts w:ascii="Times New Roman" w:cs="Times New Roman" w:eastAsia="Times New Roman" w:hAnsi="Times New Roman"/>
          <w:sz w:val="18"/>
          <w:szCs w:val="18"/>
          <w:color w:val="auto"/>
        </w:rPr>
      </w:pPr>
    </w:p>
    <w:p>
      <w:pPr>
        <w:ind w:left="323" w:right="600"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business practices, and operations are subject to extensive government regulation and oversight in the United States and elsewhere;</w:t>
      </w:r>
    </w:p>
    <w:p>
      <w:pPr>
        <w:spacing w:after="0" w:line="53" w:lineRule="exact"/>
        <w:rPr>
          <w:rFonts w:ascii="Times New Roman" w:cs="Times New Roman" w:eastAsia="Times New Roman" w:hAnsi="Times New Roman"/>
          <w:sz w:val="18"/>
          <w:szCs w:val="18"/>
          <w:color w:val="auto"/>
        </w:rPr>
      </w:pPr>
    </w:p>
    <w:p>
      <w:pPr>
        <w:ind w:left="323" w:right="160" w:hanging="323"/>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or may be delayed in receiving, the necessary clearances, certifications or approvals for our future products or modifications to our current products, and failure to timely obtain necessary clearances, certifications or approvals for our future products or modifications to our current products would adversely affect our ability to grow our business;</w:t>
      </w:r>
    </w:p>
    <w:p>
      <w:pPr>
        <w:spacing w:after="0" w:line="67" w:lineRule="exact"/>
        <w:rPr>
          <w:rFonts w:ascii="Times New Roman" w:cs="Times New Roman" w:eastAsia="Times New Roman" w:hAnsi="Times New Roman"/>
          <w:sz w:val="18"/>
          <w:szCs w:val="18"/>
          <w:color w:val="auto"/>
        </w:rPr>
      </w:pPr>
    </w:p>
    <w:p>
      <w:pPr>
        <w:ind w:left="323" w:right="160" w:hanging="323"/>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fluctuate substantially or may decline regardless of our operating performance and you could lose all or part of your investment;</w:t>
      </w:r>
    </w:p>
    <w:p>
      <w:pPr>
        <w:spacing w:after="0" w:line="53" w:lineRule="exact"/>
        <w:rPr>
          <w:rFonts w:ascii="Times New Roman" w:cs="Times New Roman" w:eastAsia="Times New Roman" w:hAnsi="Times New Roman"/>
          <w:sz w:val="18"/>
          <w:szCs w:val="18"/>
          <w:color w:val="auto"/>
        </w:rPr>
      </w:pPr>
    </w:p>
    <w:p>
      <w:pPr>
        <w:ind w:left="323" w:hanging="323"/>
        <w:spacing w:after="0" w:line="282" w:lineRule="auto"/>
        <w:tabs>
          <w:tab w:leader="none" w:pos="323"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If we </w:t>
      </w:r>
      <w:r>
        <w:rPr>
          <w:rFonts w:ascii="Times New Roman" w:cs="Times New Roman" w:eastAsia="Times New Roman" w:hAnsi="Times New Roman"/>
          <w:sz w:val="18"/>
          <w:szCs w:val="18"/>
          <w:color w:val="000000"/>
        </w:rPr>
        <w:t>fail to maintain effective internal control over financial reporting and effective disclosure controls and procedures, we may not be able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accurately report our financial results in a timely manner or prevent fraud, which may adversely affect investor confidence in our company.</w:t>
      </w:r>
    </w:p>
    <w:p>
      <w:pPr>
        <w:spacing w:after="0" w:line="200" w:lineRule="exact"/>
        <w:rPr>
          <w:sz w:val="20"/>
          <w:szCs w:val="20"/>
          <w:color w:val="auto"/>
        </w:rPr>
      </w:pPr>
    </w:p>
    <w:p>
      <w:pPr>
        <w:spacing w:after="0" w:line="286" w:lineRule="exact"/>
        <w:rPr>
          <w:sz w:val="20"/>
          <w:szCs w:val="20"/>
          <w:color w:val="auto"/>
        </w:rPr>
      </w:pPr>
    </w:p>
    <w:p>
      <w:pPr>
        <w:ind w:left="494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3"/>
          </w:cols>
          <w:pgMar w:left="957" w:top="1093" w:right="3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29"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Our mission is to develop transformative, interventional technologies that allow eyecare providers to procedurally elevate the standards of care – empowering people to keep seeing. We are passionate about improving patients’ lives by helping them to preserve their sight. Our business philosophy is grounded in the following principles: comprehensively understanding disease physiology; developing transformative technologies that are intended to preserve, protect, and restore natural physiological functionality to diseased eyes; developing and marketing products with proven clinical evidence that achieve superior effectiveness versus current treatment paradigms while minimizing complications or side effects; providing intuitive, patient friendly, interventional solutions to ophthalmologists and optometrists (together, "eyecare professionals" or "ECPs"); and delivering compelling economic value to all stakeholders, including patients, providers and third-party payors such as Medicare and commercial insurers. Our objective is to develop and market products for use in new treatment paradigms and to create an interventional mindset in eyecare whereby our technologies may be used in procedures which supplant conventional outdated approaches.</w:t>
      </w:r>
    </w:p>
    <w:p>
      <w:pPr>
        <w:spacing w:after="0" w:line="188"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We have focused our initial product development efforts on the treatment of two of the world’s most prevalent and underserved eye diseases, glaucoma and dry eye disease ("DED"). We estimate the annual addressable U.S. market opportunities for the products in our surgical glaucoma ("Surgical Glaucoma") and dry eye ("Dry Eye") segments are approximately $6.0 billion (with approximately $1.0 billion in the combination cataract procedure segment, and $5.0 billion in the standalone procedure segment) and $2.5 billion, respectively. The combination cataract procedure market segment (the “Combination Cataract Market Segment”) is associated with procedures performed on patients with glaucoma in combination with a cataract procedure (“Combination Cataract Procedures”). The standalone procedure market segment (the “Standalone Market Segment”) is associated with procedures performed on patients with glaucoma not in combination with a cataract procedure, thus coming to the operating room solely due to their glaucoma condition (“Standalone Procedures”).</w:t>
      </w:r>
    </w:p>
    <w:p>
      <w:pPr>
        <w:spacing w:after="0" w:line="192"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Glaucoma, which refers to a group of chronic, often asymptomatic, diseases that damage the optic nerve, is the world’s leading cause of irreversible blindness. Glaucoma does not have a cure and is a progressive disease; if left untreated or insufficiently treated, glaucoma can lead to irreversible disability and blindness. An estimated 126 million people worldwide suffer from glaucoma. Primary open-angle glaucoma ("POAG") is the most prevalent form of glaucoma and affects over 80 million people worldwide, including approximately 4.3 million people in the United States, of whom an estimated 3.4 million have been diagnosed. One of the greatest risk factors for POAG, and the only risk factor that can be controlled, is elevated intraocular pressure ("IOP"). Elevated IOP is often caused by malfunctioning drainage pathways in the eye that provide abnormal resistance to the outflow of aqueous humor, a clear, watery fluid that bathes and nourishes the lens and maintains pressure within the eye.</w:t>
      </w:r>
    </w:p>
    <w:p>
      <w:pPr>
        <w:spacing w:after="0" w:line="189" w:lineRule="exact"/>
        <w:rPr>
          <w:sz w:val="20"/>
          <w:szCs w:val="20"/>
          <w:color w:val="auto"/>
        </w:rPr>
      </w:pPr>
    </w:p>
    <w:p>
      <w:pPr>
        <w:ind w:right="200" w:firstLine="419"/>
        <w:spacing w:after="0" w:line="256" w:lineRule="auto"/>
        <w:rPr>
          <w:sz w:val="20"/>
          <w:szCs w:val="20"/>
          <w:color w:val="auto"/>
        </w:rPr>
      </w:pPr>
      <w:r>
        <w:rPr>
          <w:rFonts w:ascii="Times New Roman" w:cs="Times New Roman" w:eastAsia="Times New Roman" w:hAnsi="Times New Roman"/>
          <w:sz w:val="18"/>
          <w:szCs w:val="18"/>
          <w:color w:val="231F20"/>
        </w:rPr>
        <w:t>Microinvasive glaucoma surgery ("MIGS") procedures, which can be used to treat patients with glaucoma, have a strong demonstrated safety profile, characterized by minimal trauma to the eye and quick patient recovery times. We currently offer two commercial technologies in our Surgical Glaucoma segment, OMNI and SION, both of which enable MIGS procedures. OMNI is a handheld, single use, therapeutic technology that enables ophthalmic surgeons to perform a comprehensive procedure to reduce IOP in adult glaucoma patients. SION is a bladeless, manually operated device used in ophthalmic surgical procedures to excise trabecular meshwork, which is the tissue located near the cornea through which aqueous humor flows out of the eye.</w:t>
      </w:r>
    </w:p>
    <w:p>
      <w:pPr>
        <w:spacing w:after="0" w:line="187"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231F20"/>
        </w:rPr>
        <w:t>Our goal is to establish OMNI and SION as the standards of care for our customers and patients, by continuing to grow their adoption and utilization in the existing Combination Cataract Market Segment, which we believe remains underpenetrated and estimate is capturing less than one-third of its current potential procedural volume. In addition, we believe training ophthalmic surgeons to use OMNI will help us to expand the Standalone Segment (which we currently estimate at over 85% of the potential U.S. POAG market). We believe the consistent therapeutic outcomes OMNI delivers are important for patients and surgeons alike, especially those considering a standalone MIGS procedure.</w:t>
      </w:r>
    </w:p>
    <w:p>
      <w:pPr>
        <w:spacing w:after="0" w:line="183"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231F20"/>
        </w:rPr>
        <w:t>We primarily sell OMNI and SION in the U.S. through our dedicated Surgical Glaucoma sales team. Our commercial strategy for OMNI centers on building confidence and conviction among the glaucoma community through continued execution of our clinical trials and publication of their results in peer-reviewed journals. Coverage is available for the procedure enabled by OMNI, canaloplasty followed by trabeculotomy (ab interno), in all Medicare Administrative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7" w:name="page8"/>
    <w:bookmarkEnd w:id="7"/>
    <w:p>
      <w:pPr>
        <w:ind w:right="40"/>
        <w:spacing w:after="0" w:line="258" w:lineRule="auto"/>
        <w:rPr>
          <w:sz w:val="20"/>
          <w:szCs w:val="20"/>
          <w:color w:val="auto"/>
        </w:rPr>
      </w:pPr>
      <w:r>
        <w:rPr>
          <w:rFonts w:ascii="Times New Roman" w:cs="Times New Roman" w:eastAsia="Times New Roman" w:hAnsi="Times New Roman"/>
          <w:sz w:val="18"/>
          <w:szCs w:val="18"/>
          <w:color w:val="231F20"/>
        </w:rPr>
        <w:t>Contractor ("MAC") jurisdictions and under numerous private insurers plans, covering an estimated 74% of medical benefit covered lives in the U.S. With advantages that have been observed to achieve safe, effective and highly consistent clinical outcomes, we believe that OMNI has the potential to benefit patients by establishing a more proactive, interventional paradigm for IOP reduction in POAG. Our Surgical Glaucoma segment, which includes OMNI and SION, represented 92% of our total revenues for the year ended December 31, 2023. We have established direct commercial operations in the United States, United Kingdom, and Germany, and sell OMNI in other countries in Europe through distributors.</w:t>
      </w:r>
    </w:p>
    <w:p>
      <w:pPr>
        <w:spacing w:after="0" w:line="183" w:lineRule="exact"/>
        <w:rPr>
          <w:sz w:val="20"/>
          <w:szCs w:val="20"/>
          <w:color w:val="auto"/>
        </w:rPr>
      </w:pPr>
    </w:p>
    <w:p>
      <w:pPr>
        <w:ind w:right="80" w:firstLine="419"/>
        <w:spacing w:after="0" w:line="258" w:lineRule="auto"/>
        <w:rPr>
          <w:sz w:val="20"/>
          <w:szCs w:val="20"/>
          <w:color w:val="auto"/>
        </w:rPr>
      </w:pPr>
      <w:r>
        <w:rPr>
          <w:rFonts w:ascii="Times New Roman" w:cs="Times New Roman" w:eastAsia="Times New Roman" w:hAnsi="Times New Roman"/>
          <w:sz w:val="18"/>
          <w:szCs w:val="18"/>
          <w:color w:val="231F20"/>
        </w:rPr>
        <w:t>Dry eye disease is caused by aqueous deficiency or evaporative dry eye and is a subset of ocular surface disease. The primary cause of evaporative DED is meibomian gland disease ("MGD"), a disease characterized by low quality tears that evaporate prematurely. Dry eye complaints are the most common reason for a patient visit to an eye doctor. Yet, of the estimated 39 million people with DED signs and symptoms in the U.S., only an estimated 18 million have been diagnosed with DED. Dry eye symptoms have a significant impact on the quality of life and productivity of patients suffering from DED. If left untreated, DED can be extremely painful, often leading to permanent cornea damage and vision impairment.</w:t>
      </w:r>
    </w:p>
    <w:p>
      <w:pPr>
        <w:spacing w:after="0" w:line="183"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231F20"/>
        </w:rPr>
        <w:t>Studies have shown that evaporative DED resulting from MGD is associated with up to 86% of all DED cases. Approximately 49% of DED patients are considered moderate to severe. In healthy eyes, there are 25 to 30 meibomian glands located within each of the upper and lower eyelids. These glands produce and secrete an oily substance called meibum which forms the outer layer of healthy tears known as the lipid layer. Meibum normally has an olive oil-like consistency and contributes a vital element of the tear film that prevents premature tear evaporation. In patients with MGD, meibum hardens within the glands causing obstructions that can partially or completely block the oily secretions from reaching the tear film. The resulting compromised outer surface of the tear leads to accelerated tear evaporation and DED. Third-party clinical studies have demonstrated that treating MGD by liquefying and removing clogged meibum is the most effective method of eliminating obstructions and restoring a healthy tear film lipid layer, thereby preventing premature evaporation of tears.</w:t>
      </w:r>
    </w:p>
    <w:p>
      <w:pPr>
        <w:spacing w:after="0" w:line="192"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We believe the MGD market requires additional ECP and patient education, including clinical data to differentiate procedural and product alternatives, and enhanced patient access through the development of reimbursement coverage. In our Dry Eye segment, our commercial product line currently consists of our TearCare system. The TearCare system is a proprietary, interventional, dry eye device designed to melt and facilitate the comprehensive removal of meibomian gland obstructions and restore gland functionality and healthy oil production. We believe TearCare has a compelling physiological profile to address gland obstructions caused by MGD. Our goals with the development of TearCare are to (i) fully transform the current outdated treatment paradigm based primarily on over-the-counter (“OTC”), and prescription eyedrops, both of which do not address obstruction of the meibomian glands, the primary root cause of MGD, and (ii) establish use of TearCare as the standard of care for the millions of patients suffering from evaporative DED caused by MGD.</w:t>
      </w:r>
    </w:p>
    <w:p>
      <w:pPr>
        <w:spacing w:after="0" w:line="192" w:lineRule="exact"/>
        <w:rPr>
          <w:sz w:val="20"/>
          <w:szCs w:val="20"/>
          <w:color w:val="auto"/>
        </w:rPr>
      </w:pPr>
    </w:p>
    <w:p>
      <w:pPr>
        <w:ind w:right="60" w:firstLine="419"/>
        <w:spacing w:after="0" w:line="256" w:lineRule="auto"/>
        <w:rPr>
          <w:sz w:val="20"/>
          <w:szCs w:val="20"/>
          <w:color w:val="auto"/>
        </w:rPr>
      </w:pPr>
      <w:r>
        <w:rPr>
          <w:rFonts w:ascii="Times New Roman" w:cs="Times New Roman" w:eastAsia="Times New Roman" w:hAnsi="Times New Roman"/>
          <w:sz w:val="18"/>
          <w:szCs w:val="18"/>
          <w:color w:val="231F20"/>
        </w:rPr>
        <w:t>We primarily sell TearCare in the U.S. through our dedicated Dry Eye ocular surface sales team. Our commercial strategy for TearCare has been to drive awareness and adoption through cash-pay sales of TearCare to ECPs while simultaneously seeking to lay the foundation for equitable coverage and reimbursement through the generation of compelling clinical data and conduct of a targeted coding, coverage and reimbursement initiative. In 2024, we are continuing our focus on establishing appropriate and equitable market access for TearCare based on our significant clinical trial portfolio showing strong efficacy for this procedure. Our Dry Eye segment, which includes TearCare and related accessories, represented 8% of our total revenues for the year ended December 31, 2023.</w:t>
      </w:r>
    </w:p>
    <w:p>
      <w:pPr>
        <w:spacing w:after="0" w:line="187" w:lineRule="exact"/>
        <w:rPr>
          <w:sz w:val="20"/>
          <w:szCs w:val="20"/>
          <w:color w:val="auto"/>
        </w:rPr>
      </w:pPr>
    </w:p>
    <w:p>
      <w:pPr>
        <w:ind w:right="100" w:firstLine="419"/>
        <w:spacing w:after="0" w:line="266" w:lineRule="auto"/>
        <w:rPr>
          <w:sz w:val="20"/>
          <w:szCs w:val="20"/>
          <w:color w:val="auto"/>
        </w:rPr>
      </w:pPr>
      <w:r>
        <w:rPr>
          <w:rFonts w:ascii="Times New Roman" w:cs="Times New Roman" w:eastAsia="Times New Roman" w:hAnsi="Times New Roman"/>
          <w:sz w:val="18"/>
          <w:szCs w:val="18"/>
          <w:color w:val="231F20"/>
        </w:rPr>
        <w:t>We focus on continuous innovation and regularly seek input from our network of expert employees (including ophthalmologists on staff), advisors and customers to rapidly iterate our pre- and post-commercial product designs with the aim of better satisfying the needs of our customers and their patients, and increasing adoption and utilization of our solutions.</w:t>
      </w:r>
    </w:p>
    <w:p>
      <w:pPr>
        <w:spacing w:after="0" w:line="176" w:lineRule="exact"/>
        <w:rPr>
          <w:sz w:val="20"/>
          <w:szCs w:val="20"/>
          <w:color w:val="auto"/>
        </w:rPr>
      </w:pPr>
    </w:p>
    <w:p>
      <w:pPr>
        <w:ind w:right="240" w:firstLine="419"/>
        <w:spacing w:after="0" w:line="261" w:lineRule="auto"/>
        <w:rPr>
          <w:sz w:val="20"/>
          <w:szCs w:val="20"/>
          <w:color w:val="auto"/>
        </w:rPr>
      </w:pPr>
      <w:r>
        <w:rPr>
          <w:rFonts w:ascii="Times New Roman" w:cs="Times New Roman" w:eastAsia="Times New Roman" w:hAnsi="Times New Roman"/>
          <w:sz w:val="18"/>
          <w:szCs w:val="18"/>
          <w:color w:val="231F20"/>
        </w:rPr>
        <w:t>Our ability to continuously and rapidly innovate our products is a core competency of our company. Our product innovation has resulted in a comprehensive portfolio of 39 issued U.S. patents, 62 issued patents outside of the U.S. (including six issued European patents and their national validations), 28 pending U.S. non-provisional patent applications, 26 pending foreign patent applications and three pending Patent Cooperation Treaty patent applications as of December 31, 2023.</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8" w:name="page9"/>
    <w:bookmarkEnd w:id="8"/>
    <w:p>
      <w:pPr>
        <w:jc w:val="both"/>
        <w:ind w:right="480" w:firstLine="419"/>
        <w:spacing w:after="0" w:line="266" w:lineRule="auto"/>
        <w:rPr>
          <w:sz w:val="20"/>
          <w:szCs w:val="20"/>
          <w:color w:val="auto"/>
        </w:rPr>
      </w:pPr>
      <w:r>
        <w:rPr>
          <w:rFonts w:ascii="Times New Roman" w:cs="Times New Roman" w:eastAsia="Times New Roman" w:hAnsi="Times New Roman"/>
          <w:sz w:val="18"/>
          <w:szCs w:val="18"/>
          <w:color w:val="231F20"/>
        </w:rPr>
        <w:t>The overall success of our innovative approach to eyecare to date is evidenced by the over 220,000 estimated uses of our Surgical Glaucoma products in over 1,900 hospitals and ambulatory service centers ("ASCs") in the U.S. and Europe, and over 50,000 estimated uses of our TearCare technology in over 1,500 eyecare facilities in the U.S. through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Solutions</w:t>
      </w:r>
    </w:p>
    <w:p>
      <w:pPr>
        <w:spacing w:after="0" w:line="229"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231F20"/>
        </w:rPr>
        <w:t>We have designed our OMNI, SION, and TearCare products to be interventional ophthalmology technologies. We believe both glaucoma and DED are significantly underserved by current treatment offerings and there are large market opportunities for effective solutions that preserve, protect, and restore the natural physiological functionality of diseased eyes.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Product Development Approach</w:t>
      </w:r>
    </w:p>
    <w:p>
      <w:pPr>
        <w:spacing w:after="0" w:line="229"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231F20"/>
        </w:rPr>
        <w:t>The development of OMNI, SION, and TearCare follows our internal product development approach, which is governed by fundamental principles that we believe are critical to delivering the most effective, safe and consistent outcomes for patients with eye disease.</w:t>
      </w:r>
    </w:p>
    <w:p>
      <w:pPr>
        <w:spacing w:after="0" w:line="158" w:lineRule="exact"/>
        <w:rPr>
          <w:sz w:val="20"/>
          <w:szCs w:val="20"/>
          <w:color w:val="auto"/>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Comprehensive Understanding of Disease Physiology</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Treatment of Underlying Causes with Interventional Mindset</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Intuitive Design</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Strong Clinical Evidence</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Patient Access</w:t>
      </w:r>
    </w:p>
    <w:p>
      <w:pPr>
        <w:spacing w:after="0" w:line="229"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231F20"/>
        </w:rPr>
        <w:t>We aim and expect to be a clinical leader in every eyecare segment we enter, and we seek to achieve all criteria in our product development projects. From device ideation to commercialization, we take into consideration the perspectives of patients, providers and third-party payors throughout our product development process. When possible, we seek to streamline our product commercialization process by designing our products to achieve the most efficient routes for U.S. Food and Drug Administration ("FDA") clearance or authorization for each applicable indication and reimbursement coverage by third-party payors.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OMNI Surgical System</w:t>
      </w:r>
    </w:p>
    <w:p>
      <w:pPr>
        <w:spacing w:after="0" w:line="229" w:lineRule="exact"/>
        <w:rPr>
          <w:sz w:val="20"/>
          <w:szCs w:val="20"/>
          <w:color w:val="auto"/>
        </w:rPr>
      </w:pPr>
    </w:p>
    <w:p>
      <w:pPr>
        <w:ind w:right="40" w:firstLine="419"/>
        <w:spacing w:after="0" w:line="271" w:lineRule="auto"/>
        <w:rPr>
          <w:sz w:val="20"/>
          <w:szCs w:val="20"/>
          <w:color w:val="auto"/>
        </w:rPr>
      </w:pPr>
      <w:r>
        <w:rPr>
          <w:rFonts w:ascii="Times New Roman" w:cs="Times New Roman" w:eastAsia="Times New Roman" w:hAnsi="Times New Roman"/>
          <w:sz w:val="17"/>
          <w:szCs w:val="17"/>
          <w:color w:val="231F20"/>
        </w:rPr>
        <w:t xml:space="preserve">Our OMNI technology enables an ophthalmic surgeon to perform MIGS that addresses all three known areas of resistance in the conventional outflow pathway of the eye: the trabecular meshwork, Schlemm's canal, and the distal collector channels. OMNI is indicated for </w:t>
      </w:r>
      <w:r>
        <w:rPr>
          <w:rFonts w:ascii="Times New Roman" w:cs="Times New Roman" w:eastAsia="Times New Roman" w:hAnsi="Times New Roman"/>
          <w:sz w:val="17"/>
          <w:szCs w:val="17"/>
          <w:color w:val="000000"/>
        </w:rPr>
        <w:t>canaloplasty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(microcatheterization and transluminal viscodilation of Schlemm's canal) followed by trabeculotomy (cutting of the trabecular meshwork) to reduce IOP in adult POAG patients. This indication encompasses use of OMNI both by itself for Standalone Procedures and for Combination Cataract Procedures. </w:t>
      </w:r>
      <w:r>
        <w:rPr>
          <w:rFonts w:ascii="Times New Roman" w:cs="Times New Roman" w:eastAsia="Times New Roman" w:hAnsi="Times New Roman"/>
          <w:sz w:val="17"/>
          <w:szCs w:val="17"/>
          <w:color w:val="231F20"/>
        </w:rPr>
        <w:t>OMNI has received 510(k) clearance from the FDA and a CE mark to be marketed in the U.S. and the European Union ("EU") respectively, for canaloplasty (microcatheterization and transluminal viscodilation of Schlemm’s canal) followed by trabeculotomy (cutting of trabecular meshwork) to reduce IOP in adult patients with POAG in the U.S. or with open-angle glaucoma ("OAG") in the EU. OMNI was originally FDA 510(k) cleared with the capability of delivering 11 microliters of ophthalmic viscoelastic device ("OVD") fluid and a version that is capable of delivering 21 microliters of OVD was FDA 510(k) cleared for the same indications for use as the original OMNI in August 2023, but has not yet been released to market.</w:t>
      </w:r>
    </w:p>
    <w:p>
      <w:pPr>
        <w:spacing w:after="0" w:line="173"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The procedure performed with our OMNI technology addresses all three known areas of resistance in the conventional outflow pathway of the eye, and is designed to restore the eye’s natural drainage system without compromising the structural integrity of the eye or leaving implants behind post-surgery. The first steps of the procedure primarily address distal resistance (i.e., collapsed Schlemm’s canal, blocked collector channel ostia) and has some presumed effects on the inner wall of Schlemm’s canal and the trabecular meshwork due to dilation and stretching of the canal and meshwork. In the later steps of the procedure, a surgeon unroofs Schlemm’s canal by incising the diseased trabecular meshwork to provide aqueous humor with direct access to the drainage areas in the conventional outflow pathway. We believe that the procedure with OMNI technology is uniquely capable of treating all three known areas of resistance in the conventional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093" w:right="439" w:bottom="1440" w:gutter="0" w:footer="0" w:header="0"/>
        </w:sectPr>
      </w:pPr>
    </w:p>
    <w:bookmarkStart w:id="9" w:name="page10"/>
    <w:bookmarkEnd w:id="9"/>
    <w:p>
      <w:pPr>
        <w:ind w:right="120"/>
        <w:spacing w:after="0" w:line="261" w:lineRule="auto"/>
        <w:rPr>
          <w:sz w:val="20"/>
          <w:szCs w:val="20"/>
          <w:color w:val="auto"/>
        </w:rPr>
      </w:pPr>
      <w:r>
        <w:rPr>
          <w:rFonts w:ascii="Times New Roman" w:cs="Times New Roman" w:eastAsia="Times New Roman" w:hAnsi="Times New Roman"/>
          <w:sz w:val="18"/>
          <w:szCs w:val="18"/>
          <w:color w:val="231F20"/>
        </w:rPr>
        <w:t>outflow pathway of the eye. Certain competing MIGS devices have been cleared or approved by the FDA only for use in Combination Cataract Procedures for adult patients with mild-to-moderate severity, and not in Standalone Procedures. We estimate that over 85% of the U.S. addressable market opportunity for POAG is not currently being adequately served with Combination Cataract Procedures because less than 15% of POAG patients receive cataract surgery in any given year.</w:t>
      </w:r>
    </w:p>
    <w:p>
      <w:pPr>
        <w:spacing w:after="0" w:line="180" w:lineRule="exact"/>
        <w:rPr>
          <w:sz w:val="20"/>
          <w:szCs w:val="20"/>
          <w:color w:val="auto"/>
        </w:rPr>
      </w:pPr>
    </w:p>
    <w:p>
      <w:pPr>
        <w:ind w:right="300" w:firstLine="419"/>
        <w:spacing w:after="0" w:line="266" w:lineRule="auto"/>
        <w:rPr>
          <w:sz w:val="20"/>
          <w:szCs w:val="20"/>
          <w:color w:val="auto"/>
        </w:rPr>
      </w:pPr>
      <w:r>
        <w:rPr>
          <w:rFonts w:ascii="Times New Roman" w:cs="Times New Roman" w:eastAsia="Times New Roman" w:hAnsi="Times New Roman"/>
          <w:sz w:val="18"/>
          <w:szCs w:val="18"/>
          <w:color w:val="231F20"/>
        </w:rPr>
        <w:t>We believe that OMNI delivers high level of effectiveness as it provides access to 360 degrees of the diseased conventional outflow pathway through a clear corneal incision to address all three known areas of resistance in the conventional outflow pathway (trabecular meshwork, Schlemm’s canal, and the distal collector channels).</w:t>
      </w:r>
    </w:p>
    <w:p>
      <w:pPr>
        <w:spacing w:after="0" w:line="176"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231F20"/>
        </w:rPr>
        <w:t>We have applied our medical expertise, as well as specialized design and engineering capabilities, to create a complex technology that is simple in appearance and intuitive to use. After inserting the distal tip into the corneal microincision and accessing Schlemm’s canal, the surgeon can advance and retract the catheter with a fingertip dial up to 180 degrees. On the forward advance, the physician can use the microcatheter technology to remove adhesions and herniations residing within Schlemm’s canal. Upon retraction of the catheter, OMNI synchronously delivers viscoelastic fluid to inflate and restore patency of Schlemm’s canal. The surgeon can address the remaining 180-degrees by reinserting the catheter and advancing it in the opposite direction. To perform the final steps of the procedure, the same microcatheter can be reinserted into Schlemm’s canal and used to deroof the trabecular meshwork per the surgeon’s discretion. The procedure performed with OMNI technology addresses all three areas of outflow resistance, and we believe that it offers the surgeon a robust and comprehensive solution for their glaucoma patients, enables surgeons to perform sequential comprehensive outflow treatments that they can customize based on an individual patient’s disease severity and eye anatomy in both Combination Cataract Procedures and in Standalone Procedures.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SION Surgical Instrument</w:t>
      </w:r>
    </w:p>
    <w:p>
      <w:pPr>
        <w:spacing w:after="0" w:line="229" w:lineRule="exact"/>
        <w:rPr>
          <w:sz w:val="20"/>
          <w:szCs w:val="20"/>
          <w:color w:val="auto"/>
        </w:rPr>
      </w:pPr>
    </w:p>
    <w:p>
      <w:pPr>
        <w:ind w:right="160" w:firstLine="419"/>
        <w:spacing w:after="0" w:line="256" w:lineRule="auto"/>
        <w:rPr>
          <w:sz w:val="20"/>
          <w:szCs w:val="20"/>
          <w:color w:val="auto"/>
        </w:rPr>
      </w:pPr>
      <w:r>
        <w:rPr>
          <w:rFonts w:ascii="Times New Roman" w:cs="Times New Roman" w:eastAsia="Times New Roman" w:hAnsi="Times New Roman"/>
          <w:sz w:val="18"/>
          <w:szCs w:val="18"/>
          <w:color w:val="231F20"/>
        </w:rPr>
        <w:t>We introduced SION in the third quarter of 2022. SION is registered with the FDA as a Class I 510(k) exempt device. SION’s bladeless design, micro-engineered and precision manufactured using specialized lasers, excises tissue without cutting. SION grasps and removes diseased tissue as the surgeon sweeps the instrument around Schlemm’s canal with a single smooth motion. The bladeless technology of SION was developed with leading ophthalmic surgeons to improve safety and ease of use by eliminating the need to navigate sharp instrumentation within the eye’s anterior chamber and iridocorneal angle anatomy. We believe SION represents our third consecutive best-in-category device and satisfies the American Academy of Ophthalmology's definition of goniotomy.</w:t>
      </w:r>
    </w:p>
    <w:p>
      <w:pPr>
        <w:spacing w:after="0" w:line="187" w:lineRule="exact"/>
        <w:rPr>
          <w:sz w:val="20"/>
          <w:szCs w:val="20"/>
          <w:color w:val="auto"/>
        </w:rPr>
      </w:pPr>
    </w:p>
    <w:p>
      <w:pPr>
        <w:ind w:right="120" w:firstLine="419"/>
        <w:spacing w:after="0" w:line="258" w:lineRule="auto"/>
        <w:rPr>
          <w:sz w:val="20"/>
          <w:szCs w:val="20"/>
          <w:color w:val="auto"/>
        </w:rPr>
      </w:pPr>
      <w:r>
        <w:rPr>
          <w:rFonts w:ascii="Times New Roman" w:cs="Times New Roman" w:eastAsia="Times New Roman" w:hAnsi="Times New Roman"/>
          <w:sz w:val="18"/>
          <w:szCs w:val="18"/>
          <w:color w:val="231F20"/>
        </w:rPr>
        <w:t>SION allows us to serve specific subsets of customers who may prioritize a faster or simpler procedure. Our target customers for SION include three types of combination cataract MIGS surgeons that are distinct from target OMNI customers: 1) high volume cataract surgeons seeking to perform the quickest MIGS procedures, 2) surgeons who are initially less experienced with MIGS such as surgical fellows at academic institutions and 3) surgeons looking for the most cost effective MIGS procedures. We believe that these use cases have very little overlap with the use cases for our OMNI device.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TearCare System</w:t>
      </w:r>
    </w:p>
    <w:p>
      <w:pPr>
        <w:spacing w:after="0" w:line="229"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231F20"/>
        </w:rPr>
        <w:t>In an effort to address the treatment of evaporative DED due to MGD, we custom designed TearCare to facilitate what we believe is the optimal method for clearing meibomian gland obstructions based on numerous clinical studies: achieving and maintaining a maximal and highly precise external eyelid temperature of 45 degrees Celsius for 15 minutes that achieves a requisite inner eyelid therapeutic melting threshold temperature of 41 degrees Celsius to melt congealed meibum in the diseased meibomian glands. The precise, reproducible, and software-controlled thermal therapeutic melting cycle is followed promptly by clinician customized manual, comprehensive removal of the liquefied meibum obstructions with a separate clearance tool to help facilitate restoration of healthy meibum production to naturally fortify the tear’s protective lipid layer. The goal of TearCare treatments is to restore the eyelid’s natural ability to produce healthy lipid secretions and recover the integrity of the tear film.</w:t>
      </w:r>
    </w:p>
    <w:p>
      <w:pPr>
        <w:spacing w:after="0" w:line="189"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231F20"/>
        </w:rPr>
        <w:t>We developed TearCare to serve as an elegant, compact, portable, and intuitive solution comprised of the SmartHub</w:t>
      </w:r>
      <w:r>
        <w:rPr>
          <w:rFonts w:ascii="Times New Roman" w:cs="Times New Roman" w:eastAsia="Times New Roman" w:hAnsi="Times New Roman"/>
          <w:sz w:val="18"/>
          <w:szCs w:val="18"/>
          <w:color w:val="000000"/>
        </w:rPr>
        <w:t>™ ("SmartHub")</w:t>
      </w:r>
      <w:r>
        <w:rPr>
          <w:rFonts w:ascii="Times New Roman" w:cs="Times New Roman" w:eastAsia="Times New Roman" w:hAnsi="Times New Roman"/>
          <w:sz w:val="18"/>
          <w:szCs w:val="18"/>
          <w:color w:val="231F20"/>
        </w:rPr>
        <w:t>, a reusable hardware controller, and the TearCare SmartLids</w:t>
      </w:r>
      <w:r>
        <w:rPr>
          <w:rFonts w:ascii="Times New Roman" w:cs="Times New Roman" w:eastAsia="Times New Roman" w:hAnsi="Times New Roman"/>
          <w:sz w:val="18"/>
          <w:szCs w:val="18"/>
          <w:color w:val="000000"/>
        </w:rPr>
        <w:t>® ("SmartLids")</w:t>
      </w:r>
      <w:r>
        <w:rPr>
          <w:rFonts w:ascii="Times New Roman" w:cs="Times New Roman" w:eastAsia="Times New Roman" w:hAnsi="Times New Roman"/>
          <w:sz w:val="18"/>
          <w:szCs w:val="18"/>
          <w:color w:val="231F20"/>
        </w:rPr>
        <w:t>, a breakthrough, software-controlled, wearable, therapeutic eyelid technology. Applied adhesively and non-invasively to the outside of the eyelids, single-use, closed loop, software-sensor controlled SmartLids deliver a precise and programmed therapeutic level of heat into the meibomian glands. This process is software-controlled, delivering precise heat to the tarsal plates of the eyelids</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10" w:name="page11"/>
    <w:bookmarkEnd w:id="10"/>
    <w:p>
      <w:pPr>
        <w:ind w:right="180"/>
        <w:spacing w:after="0" w:line="258" w:lineRule="auto"/>
        <w:rPr>
          <w:sz w:val="20"/>
          <w:szCs w:val="20"/>
          <w:color w:val="auto"/>
        </w:rPr>
      </w:pPr>
      <w:r>
        <w:rPr>
          <w:rFonts w:ascii="Times New Roman" w:cs="Times New Roman" w:eastAsia="Times New Roman" w:hAnsi="Times New Roman"/>
          <w:sz w:val="18"/>
          <w:szCs w:val="18"/>
          <w:color w:val="231F20"/>
        </w:rPr>
        <w:t>directly overlying the meibomian glands while continuously monitoring temperature and communicating 144 times per second with the SmartHub, a compact, finely calibrated power source and control unit which ensures a reproducible therapeutic interventional procedure for every patient. The technological design inputs of the system and precision-controlled therapeutic melting process follows clinically proven guidelines for temperature and duration required to melt obstructions in diseased meibomian glands and restore the production and secretion of healthy, clear meibum onto the tear surface.</w:t>
      </w:r>
    </w:p>
    <w:p>
      <w:pPr>
        <w:spacing w:after="0" w:line="183"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231F20"/>
        </w:rPr>
        <w:t>The proprietary, thin, flexible, wearable, and open-eye design of TearCare SmartLids a) ensure a conformant fit for every patient and thereby ensure the reproducible delivery of thermal energy into the meibomian glands to achieve the requisite gland obstruction melting temperature across different eyelid anatomies, b) allows patients to blink naturally throughout the thermal portion of the procedure, which initiates the natural movement and expression of melted gland obstructions from the diseased meibomian glands, and c) provides a comfortable, open eye patient experience in the eye care provider’s office. Engineering SmartLids to remain comfortably adhered to virtually all shapes and sizes of eyelids while allowing freedom to blink and delivering precisely controlled, therapeutic levels of thermal energy is one of our most significant design accomplishments. Further, TearCare can be utilized by an ECP in a straightforward in-office procedure and can be accommodated during the course of a routine patient visit, which makes it convenient for patients, and allows providers to maintain procedural throughput in their practices. We believe these features and the positive patient and ECP experience with TearCare offer a stark contrast to available alternatives, which we believe are burdened by ineffective and suboptimal product design, a lack of conformance to the underlying diseased eyelid tissues yielding suboptimal therapy and clinical outcomes, and including awkward and uncomfortable patient experiences through closed eye or manual solutions that require extremely close patient proximity to the ECP throughout the treatment.</w:t>
      </w:r>
    </w:p>
    <w:p>
      <w:pPr>
        <w:spacing w:after="0" w:line="190" w:lineRule="exact"/>
        <w:rPr>
          <w:sz w:val="20"/>
          <w:szCs w:val="20"/>
          <w:color w:val="auto"/>
        </w:rPr>
      </w:pPr>
    </w:p>
    <w:p>
      <w:pPr>
        <w:jc w:val="both"/>
        <w:ind w:right="20" w:firstLine="419"/>
        <w:spacing w:after="0" w:line="266" w:lineRule="auto"/>
        <w:rPr>
          <w:sz w:val="20"/>
          <w:szCs w:val="20"/>
          <w:color w:val="auto"/>
        </w:rPr>
      </w:pPr>
      <w:r>
        <w:rPr>
          <w:rFonts w:ascii="Times New Roman" w:cs="Times New Roman" w:eastAsia="Times New Roman" w:hAnsi="Times New Roman"/>
          <w:sz w:val="18"/>
          <w:szCs w:val="18"/>
          <w:color w:val="231F20"/>
        </w:rPr>
        <w:t>Following therapeutic heat application by TearCare, ECPs may use a separate clearance tool to manually express melted meibum from each gland. ECPs can tailor the amount of pressure applied during expression to specific glands based on a desired full evacuation of the glands, thereby allowing the eyelids to resume the production and secretion of meibum to coat and protect tears.</w:t>
      </w:r>
    </w:p>
    <w:p>
      <w:pPr>
        <w:spacing w:after="0" w:line="176" w:lineRule="exact"/>
        <w:rPr>
          <w:sz w:val="20"/>
          <w:szCs w:val="20"/>
          <w:color w:val="auto"/>
        </w:rPr>
      </w:pPr>
    </w:p>
    <w:p>
      <w:pPr>
        <w:ind w:right="100" w:firstLine="419"/>
        <w:spacing w:after="0" w:line="266" w:lineRule="auto"/>
        <w:rPr>
          <w:sz w:val="20"/>
          <w:szCs w:val="20"/>
          <w:color w:val="auto"/>
        </w:rPr>
      </w:pPr>
      <w:r>
        <w:rPr>
          <w:rFonts w:ascii="Times New Roman" w:cs="Times New Roman" w:eastAsia="Times New Roman" w:hAnsi="Times New Roman"/>
          <w:sz w:val="18"/>
          <w:szCs w:val="18"/>
          <w:color w:val="231F20"/>
        </w:rPr>
        <w:t>In December 2021, the FDA cleared TearCare for the application of localized heat therapy in adult patients with evaporative DED due to MGD, when used in conjunction with manual expression of the meibomian glands. In December 2023, the FDA cleared a next generation TearCare product for the same indications of use as TearCare, which has not been launched to market yet.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Success Factors</w:t>
      </w:r>
    </w:p>
    <w:p>
      <w:pPr>
        <w:spacing w:after="0" w:line="229" w:lineRule="exact"/>
        <w:rPr>
          <w:sz w:val="20"/>
          <w:szCs w:val="20"/>
          <w:color w:val="auto"/>
        </w:rPr>
      </w:pPr>
    </w:p>
    <w:p>
      <w:pPr>
        <w:ind w:right="180" w:firstLine="419"/>
        <w:spacing w:after="0" w:line="266" w:lineRule="auto"/>
        <w:rPr>
          <w:sz w:val="20"/>
          <w:szCs w:val="20"/>
          <w:color w:val="auto"/>
        </w:rPr>
      </w:pPr>
      <w:r>
        <w:rPr>
          <w:rFonts w:ascii="Times New Roman" w:cs="Times New Roman" w:eastAsia="Times New Roman" w:hAnsi="Times New Roman"/>
          <w:sz w:val="18"/>
          <w:szCs w:val="18"/>
          <w:color w:val="231F20"/>
        </w:rPr>
        <w:t>Our mission is to develop transformative, interventional technologies that allow eyecare providers to procedurally elevate the standards of care— empowering people to keep seeing. We design our products to enable ECPs to perform safe and effective interventional procedures that can transform treatment paradigms. We believe the following factors have contributed to our success and will continue to drive our growth:</w:t>
      </w:r>
    </w:p>
    <w:p>
      <w:pPr>
        <w:spacing w:after="0" w:line="172" w:lineRule="exact"/>
        <w:rPr>
          <w:sz w:val="20"/>
          <w:szCs w:val="20"/>
          <w:color w:val="auto"/>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Large market opportunities in eyecare with sub-optimal treatment paradigms;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Continual development of transformative technologies to preserve, protect, and restore natural eye function;</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Consistent delivery of exceptional customer experience;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Prioritization of clinical and commercial excellence and market education;</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Focus on compelling economics and value creation for all eyecare stakeholders; and</w:t>
      </w:r>
    </w:p>
    <w:p>
      <w:pPr>
        <w:spacing w:after="0" w:line="117" w:lineRule="exact"/>
        <w:rPr>
          <w:rFonts w:ascii="Times New Roman" w:cs="Times New Roman" w:eastAsia="Times New Roman" w:hAnsi="Times New Roman"/>
          <w:sz w:val="18"/>
          <w:szCs w:val="18"/>
          <w:color w:val="231F20"/>
        </w:rPr>
      </w:pPr>
    </w:p>
    <w:p>
      <w:pPr>
        <w:ind w:left="800" w:right="940" w:hanging="283"/>
        <w:spacing w:after="0" w:line="286" w:lineRule="auto"/>
        <w:tabs>
          <w:tab w:leader="none" w:pos="80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Scaling our team based on our core behaviors: love what you do, have each other's back, own it, break through walls, and grow every day.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Growth Strategy</w:t>
      </w:r>
    </w:p>
    <w:p>
      <w:pPr>
        <w:spacing w:after="0" w:line="229" w:lineRule="exact"/>
        <w:rPr>
          <w:sz w:val="20"/>
          <w:szCs w:val="20"/>
          <w:color w:val="auto"/>
        </w:rPr>
      </w:pPr>
    </w:p>
    <w:p>
      <w:pPr>
        <w:ind w:right="200" w:firstLine="419"/>
        <w:spacing w:after="0" w:line="266" w:lineRule="auto"/>
        <w:rPr>
          <w:sz w:val="20"/>
          <w:szCs w:val="20"/>
          <w:color w:val="auto"/>
        </w:rPr>
      </w:pPr>
      <w:r>
        <w:rPr>
          <w:rFonts w:ascii="Times New Roman" w:cs="Times New Roman" w:eastAsia="Times New Roman" w:hAnsi="Times New Roman"/>
          <w:sz w:val="18"/>
          <w:szCs w:val="18"/>
          <w:color w:val="231F20"/>
        </w:rPr>
        <w:t>The fundamental objectives of our growth strategy are to establish robust clinical data to support the development of our target markets and the continued commercialization of our products and to deliver an exceptional customer experience to the ECPs and patients who utilize our products. Our current growth strategies include: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11" w:name="page12"/>
    <w:bookmarkEnd w:id="11"/>
    <w:p>
      <w:pPr>
        <w:ind w:left="920" w:hanging="283"/>
        <w:spacing w:after="0"/>
        <w:tabs>
          <w:tab w:leader="none" w:pos="9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Establish OMNI and SION as the standards of care for interventional glaucoma treatment among MIGS-trained surgeons;</w:t>
      </w:r>
    </w:p>
    <w:p>
      <w:pPr>
        <w:spacing w:after="0" w:line="117" w:lineRule="exact"/>
        <w:rPr>
          <w:rFonts w:ascii="Times New Roman" w:cs="Times New Roman" w:eastAsia="Times New Roman" w:hAnsi="Times New Roman"/>
          <w:sz w:val="18"/>
          <w:szCs w:val="18"/>
          <w:color w:val="231F20"/>
        </w:rPr>
      </w:pPr>
    </w:p>
    <w:p>
      <w:pPr>
        <w:ind w:left="920" w:hanging="283"/>
        <w:spacing w:after="0"/>
        <w:tabs>
          <w:tab w:leader="none" w:pos="9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Develop and expand the Standalone MIGS segment with OMNI;</w:t>
      </w:r>
    </w:p>
    <w:p>
      <w:pPr>
        <w:spacing w:after="0" w:line="117" w:lineRule="exact"/>
        <w:rPr>
          <w:rFonts w:ascii="Times New Roman" w:cs="Times New Roman" w:eastAsia="Times New Roman" w:hAnsi="Times New Roman"/>
          <w:sz w:val="18"/>
          <w:szCs w:val="18"/>
          <w:color w:val="231F20"/>
        </w:rPr>
      </w:pPr>
    </w:p>
    <w:p>
      <w:pPr>
        <w:ind w:left="920" w:hanging="283"/>
        <w:spacing w:after="0"/>
        <w:tabs>
          <w:tab w:leader="none" w:pos="9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Drive fair market access to TearCare leveraging the SAHARA and OLYMPIA trials to establish reimbursement;</w:t>
      </w:r>
    </w:p>
    <w:p>
      <w:pPr>
        <w:spacing w:after="0" w:line="117" w:lineRule="exact"/>
        <w:rPr>
          <w:rFonts w:ascii="Times New Roman" w:cs="Times New Roman" w:eastAsia="Times New Roman" w:hAnsi="Times New Roman"/>
          <w:sz w:val="18"/>
          <w:szCs w:val="18"/>
          <w:color w:val="231F20"/>
        </w:rPr>
      </w:pPr>
    </w:p>
    <w:p>
      <w:pPr>
        <w:ind w:left="920" w:hanging="283"/>
        <w:spacing w:after="0"/>
        <w:tabs>
          <w:tab w:leader="none" w:pos="9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Drive adoption and utilization of our products by leveraging additional clinical trials and market education;</w:t>
      </w:r>
    </w:p>
    <w:p>
      <w:pPr>
        <w:spacing w:after="0" w:line="117" w:lineRule="exact"/>
        <w:rPr>
          <w:rFonts w:ascii="Times New Roman" w:cs="Times New Roman" w:eastAsia="Times New Roman" w:hAnsi="Times New Roman"/>
          <w:sz w:val="18"/>
          <w:szCs w:val="18"/>
          <w:color w:val="231F20"/>
        </w:rPr>
      </w:pPr>
    </w:p>
    <w:p>
      <w:pPr>
        <w:ind w:left="920" w:hanging="283"/>
        <w:spacing w:after="0"/>
        <w:tabs>
          <w:tab w:leader="none" w:pos="9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Deepen and broaden our commercial capabilities and expertise;</w:t>
      </w:r>
    </w:p>
    <w:p>
      <w:pPr>
        <w:spacing w:after="0" w:line="117" w:lineRule="exact"/>
        <w:rPr>
          <w:rFonts w:ascii="Times New Roman" w:cs="Times New Roman" w:eastAsia="Times New Roman" w:hAnsi="Times New Roman"/>
          <w:sz w:val="18"/>
          <w:szCs w:val="18"/>
          <w:color w:val="231F20"/>
        </w:rPr>
      </w:pPr>
    </w:p>
    <w:p>
      <w:pPr>
        <w:ind w:left="920" w:hanging="283"/>
        <w:spacing w:after="0"/>
        <w:tabs>
          <w:tab w:leader="none" w:pos="9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Expand into additional international markets;</w:t>
      </w:r>
    </w:p>
    <w:p>
      <w:pPr>
        <w:spacing w:after="0" w:line="117" w:lineRule="exact"/>
        <w:rPr>
          <w:rFonts w:ascii="Times New Roman" w:cs="Times New Roman" w:eastAsia="Times New Roman" w:hAnsi="Times New Roman"/>
          <w:sz w:val="18"/>
          <w:szCs w:val="18"/>
          <w:color w:val="231F20"/>
        </w:rPr>
      </w:pPr>
    </w:p>
    <w:p>
      <w:pPr>
        <w:ind w:left="920" w:hanging="283"/>
        <w:spacing w:after="0"/>
        <w:tabs>
          <w:tab w:leader="none" w:pos="9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Continue to create transformational and interventional technology innovation throughout eyecare; and</w:t>
      </w:r>
    </w:p>
    <w:p>
      <w:pPr>
        <w:spacing w:after="0" w:line="117" w:lineRule="exact"/>
        <w:rPr>
          <w:rFonts w:ascii="Times New Roman" w:cs="Times New Roman" w:eastAsia="Times New Roman" w:hAnsi="Times New Roman"/>
          <w:sz w:val="18"/>
          <w:szCs w:val="18"/>
          <w:color w:val="231F20"/>
        </w:rPr>
      </w:pPr>
    </w:p>
    <w:p>
      <w:pPr>
        <w:ind w:left="920" w:hanging="283"/>
        <w:spacing w:after="0"/>
        <w:tabs>
          <w:tab w:leader="none" w:pos="9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Obtain and maintain appropriate reimbursement and coverage by governmental and commercial payors.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Clinical Data</w:t>
      </w:r>
    </w:p>
    <w:p>
      <w:pPr>
        <w:spacing w:after="0" w:line="229" w:lineRule="exact"/>
        <w:rPr>
          <w:sz w:val="20"/>
          <w:szCs w:val="20"/>
          <w:color w:val="auto"/>
        </w:rPr>
      </w:pPr>
    </w:p>
    <w:p>
      <w:pPr>
        <w:ind w:left="120" w:right="160" w:firstLine="419"/>
        <w:spacing w:after="0" w:line="258" w:lineRule="auto"/>
        <w:rPr>
          <w:sz w:val="20"/>
          <w:szCs w:val="20"/>
          <w:color w:val="auto"/>
        </w:rPr>
      </w:pPr>
      <w:r>
        <w:rPr>
          <w:rFonts w:ascii="Times New Roman" w:cs="Times New Roman" w:eastAsia="Times New Roman" w:hAnsi="Times New Roman"/>
          <w:sz w:val="18"/>
          <w:szCs w:val="18"/>
          <w:color w:val="231F20"/>
        </w:rPr>
        <w:t>We believe treatment decisions should be evidence-based and hold ourselves to the highest clinical and ethical standards to build and maintain credibility in the medical community. We are deeply committed to conducting studies to evaluate the safety, effectiveness and durability of treatments using our products, and subjecting the results to the rigorous peer review process for publication in leading journals. Our robust and growing libraries of evidence to support OMNI, SION and TearCare are helping to drive their awareness and adoption, and ultimately advancing patient care in ophthalmology and optometry.</w:t>
      </w:r>
    </w:p>
    <w:p>
      <w:pPr>
        <w:spacing w:after="0" w:line="183" w:lineRule="exact"/>
        <w:rPr>
          <w:sz w:val="20"/>
          <w:szCs w:val="20"/>
          <w:color w:val="auto"/>
        </w:rPr>
      </w:pPr>
    </w:p>
    <w:p>
      <w:pPr>
        <w:jc w:val="both"/>
        <w:ind w:left="120" w:right="200" w:firstLine="419"/>
        <w:spacing w:after="0" w:line="266" w:lineRule="auto"/>
        <w:rPr>
          <w:sz w:val="20"/>
          <w:szCs w:val="20"/>
          <w:color w:val="auto"/>
        </w:rPr>
      </w:pPr>
      <w:r>
        <w:rPr>
          <w:rFonts w:ascii="Times New Roman" w:cs="Times New Roman" w:eastAsia="Times New Roman" w:hAnsi="Times New Roman"/>
          <w:sz w:val="18"/>
          <w:szCs w:val="18"/>
          <w:color w:val="231F20"/>
        </w:rPr>
        <w:t>We are currently conducting active and robust clinical trial programs in both POAG and MGD. Our clinical trial designs include both randomized controlled trials ("RCTs"), prospective, and retrospective real-world studies, based on our belief that each of these approaches has unique strengths. We also plan to continue supporting our investigator-initiated trial program.</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OMNI Surgical System - Clinical Program</w:t>
      </w:r>
    </w:p>
    <w:p>
      <w:pPr>
        <w:spacing w:after="0" w:line="229" w:lineRule="exact"/>
        <w:rPr>
          <w:sz w:val="20"/>
          <w:szCs w:val="20"/>
          <w:color w:val="auto"/>
        </w:rPr>
      </w:pPr>
    </w:p>
    <w:p>
      <w:pPr>
        <w:ind w:left="120" w:right="180" w:firstLine="419"/>
        <w:spacing w:after="0" w:line="254" w:lineRule="auto"/>
        <w:rPr>
          <w:sz w:val="20"/>
          <w:szCs w:val="20"/>
          <w:color w:val="auto"/>
        </w:rPr>
      </w:pPr>
      <w:r>
        <w:rPr>
          <w:rFonts w:ascii="Times New Roman" w:cs="Times New Roman" w:eastAsia="Times New Roman" w:hAnsi="Times New Roman"/>
          <w:sz w:val="18"/>
          <w:szCs w:val="18"/>
          <w:color w:val="231F20"/>
        </w:rPr>
        <w:t>Building on a solid foundation of completed and ongoing clinical trials, we are investing significant resources to further develop clinical data regarding the use of OMNI. Since 2018, there have been 30 articles published in peer-reviewed journals for OMNI and its Sight Sciences predicate devices and procedures. Our completed trials include ROMEO, ROMEO 2, GEMINI, GEMINI 2, ORION 2, and TREY. ROMEO was used to support OMNI’s indication for use expansion in the U.S. in March 2021 and resulted in two published articles in peer-reviewed journals. ROMEO 2 replicated the results of ROMEO in a larger study population and provided longer-term (24 month) outcomes for original ROMEO subjects. GEMINI was a prospective, multi-center, historical control, single-arm, U.S. study, with GEMINI 2 providing 36-month follow-up for GEMINI subjects. TREY was a multi-center study evaluating the effectiveness of Standalone Procedure intervention using OMNI in eyes with uncontrolled IOP previously treated with trabecular bypass canal implants.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Table 1: Sight Sciences OMNI Ongoing and Planned Clinical Studies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0" w:type="dxa"/>
            <w:vAlign w:val="bottom"/>
            <w:tcBorders>
              <w:right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8900" w:type="dxa"/>
            <w:vAlign w:val="bottom"/>
            <w:tcBorders>
              <w:top w:val="single" w:sz="8" w:color="auto"/>
              <w:bottom w:val="single" w:sz="8" w:color="auto"/>
              <w:right w:val="single" w:sz="8" w:color="auto"/>
            </w:tcBorders>
          </w:tcPr>
          <w:p>
            <w:pPr>
              <w:ind w:left="43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560" w:type="dxa"/>
            <w:vAlign w:val="bottom"/>
            <w:tcBorders>
              <w:right w:val="single" w:sz="8" w:color="auto"/>
            </w:tcBorders>
          </w:tcPr>
          <w:p>
            <w:pPr>
              <w:spacing w:after="0"/>
              <w:rPr>
                <w:sz w:val="12"/>
                <w:szCs w:val="12"/>
                <w:color w:val="auto"/>
              </w:rPr>
            </w:pPr>
          </w:p>
        </w:tc>
        <w:tc>
          <w:tcPr>
            <w:tcW w:w="166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EVOLVE</w:t>
            </w:r>
          </w:p>
        </w:tc>
        <w:tc>
          <w:tcPr>
            <w:tcW w:w="8900" w:type="dxa"/>
            <w:vAlign w:val="bottom"/>
            <w:tcBorders>
              <w:right w:val="single" w:sz="8" w:color="auto"/>
            </w:tcBorders>
          </w:tcPr>
          <w:p>
            <w:pPr>
              <w:ind w:left="620"/>
              <w:spacing w:after="0" w:line="139" w:lineRule="exact"/>
              <w:rPr>
                <w:sz w:val="20"/>
                <w:szCs w:val="20"/>
                <w:color w:val="auto"/>
              </w:rPr>
            </w:pPr>
            <w:r>
              <w:rPr>
                <w:rFonts w:ascii="Times New Roman" w:cs="Times New Roman" w:eastAsia="Times New Roman" w:hAnsi="Times New Roman"/>
                <w:sz w:val="14"/>
                <w:szCs w:val="14"/>
                <w:color w:val="auto"/>
              </w:rPr>
              <w:t>RCT study comparing the safety and effectiveness of OMNI with standard medical care in subjects not adequately controlled by prostagladin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0" w:type="dxa"/>
            <w:vAlign w:val="bottom"/>
            <w:tcBorders>
              <w:right w:val="single" w:sz="8" w:color="auto"/>
            </w:tcBorders>
          </w:tcPr>
          <w:p>
            <w:pPr>
              <w:spacing w:after="0"/>
              <w:rPr>
                <w:sz w:val="15"/>
                <w:szCs w:val="15"/>
                <w:color w:val="auto"/>
              </w:rPr>
            </w:pPr>
          </w:p>
        </w:tc>
        <w:tc>
          <w:tcPr>
            <w:tcW w:w="1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IRIS® Registry</w:t>
            </w:r>
          </w:p>
        </w:tc>
        <w:tc>
          <w:tcPr>
            <w:tcW w:w="890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eyedrop monotherapy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60" w:type="dxa"/>
            <w:vAlign w:val="bottom"/>
            <w:tcBorders>
              <w:right w:val="single" w:sz="8" w:color="auto"/>
            </w:tcBorders>
          </w:tcPr>
          <w:p>
            <w:pPr>
              <w:spacing w:after="0"/>
              <w:rPr>
                <w:sz w:val="12"/>
                <w:szCs w:val="12"/>
                <w:color w:val="auto"/>
              </w:rPr>
            </w:pPr>
          </w:p>
        </w:tc>
        <w:tc>
          <w:tcPr>
            <w:tcW w:w="1660" w:type="dxa"/>
            <w:vAlign w:val="bottom"/>
            <w:vMerge w:val="continue"/>
          </w:tcPr>
          <w:p>
            <w:pPr>
              <w:spacing w:after="0"/>
              <w:rPr>
                <w:sz w:val="12"/>
                <w:szCs w:val="12"/>
                <w:color w:val="auto"/>
              </w:rPr>
            </w:pPr>
          </w:p>
        </w:tc>
        <w:tc>
          <w:tcPr>
            <w:tcW w:w="8900" w:type="dxa"/>
            <w:vAlign w:val="bottom"/>
            <w:tcBorders>
              <w:right w:val="single" w:sz="8" w:color="auto"/>
            </w:tcBorders>
          </w:tcPr>
          <w:p>
            <w:pPr>
              <w:ind w:left="620"/>
              <w:spacing w:after="0" w:line="149" w:lineRule="exact"/>
              <w:rPr>
                <w:sz w:val="20"/>
                <w:szCs w:val="20"/>
                <w:color w:val="auto"/>
              </w:rPr>
            </w:pPr>
            <w:r>
              <w:rPr>
                <w:rFonts w:ascii="Times New Roman" w:cs="Times New Roman" w:eastAsia="Times New Roman" w:hAnsi="Times New Roman"/>
                <w:sz w:val="14"/>
                <w:szCs w:val="14"/>
                <w:color w:val="auto"/>
              </w:rPr>
              <w:t>Evaluate retrospective, real-world data for OMNI and competing products from IRIS® Registry in the U.S., including disease-severity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0" w:type="dxa"/>
            <w:vAlign w:val="bottom"/>
            <w:tcBorders>
              <w:right w:val="single" w:sz="8" w:color="auto"/>
            </w:tcBorders>
          </w:tcPr>
          <w:p>
            <w:pPr>
              <w:spacing w:after="0"/>
              <w:rPr>
                <w:sz w:val="15"/>
                <w:szCs w:val="15"/>
                <w:color w:val="auto"/>
              </w:rPr>
            </w:pPr>
          </w:p>
        </w:tc>
        <w:tc>
          <w:tcPr>
            <w:tcW w:w="1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Meta Analysis</w:t>
            </w:r>
          </w:p>
        </w:tc>
        <w:tc>
          <w:tcPr>
            <w:tcW w:w="890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outcomes, ethnic minorities outcomes, and standalone outcomes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60" w:type="dxa"/>
            <w:vAlign w:val="bottom"/>
            <w:tcBorders>
              <w:right w:val="single" w:sz="8" w:color="auto"/>
            </w:tcBorders>
          </w:tcPr>
          <w:p>
            <w:pPr>
              <w:spacing w:after="0"/>
              <w:rPr>
                <w:sz w:val="12"/>
                <w:szCs w:val="12"/>
                <w:color w:val="auto"/>
              </w:rPr>
            </w:pPr>
          </w:p>
        </w:tc>
        <w:tc>
          <w:tcPr>
            <w:tcW w:w="1660" w:type="dxa"/>
            <w:vAlign w:val="bottom"/>
            <w:vMerge w:val="continue"/>
          </w:tcPr>
          <w:p>
            <w:pPr>
              <w:spacing w:after="0"/>
              <w:rPr>
                <w:sz w:val="12"/>
                <w:szCs w:val="12"/>
                <w:color w:val="auto"/>
              </w:rPr>
            </w:pPr>
          </w:p>
        </w:tc>
        <w:tc>
          <w:tcPr>
            <w:tcW w:w="8900" w:type="dxa"/>
            <w:vAlign w:val="bottom"/>
            <w:tcBorders>
              <w:right w:val="single" w:sz="8" w:color="auto"/>
            </w:tcBorders>
          </w:tcPr>
          <w:p>
            <w:pPr>
              <w:ind w:left="620"/>
              <w:spacing w:after="0" w:line="149" w:lineRule="exact"/>
              <w:rPr>
                <w:sz w:val="20"/>
                <w:szCs w:val="20"/>
                <w:color w:val="auto"/>
              </w:rPr>
            </w:pPr>
            <w:r>
              <w:rPr>
                <w:rFonts w:ascii="Times New Roman" w:cs="Times New Roman" w:eastAsia="Times New Roman" w:hAnsi="Times New Roman"/>
                <w:sz w:val="14"/>
                <w:szCs w:val="14"/>
                <w:color w:val="auto"/>
              </w:rPr>
              <w:t>Meta analysis that combines and analyzes the results of all studies of procedures performed by OMNI to systematically assess the results of</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0" w:type="dxa"/>
            <w:vAlign w:val="bottom"/>
            <w:tcBorders>
              <w:right w:val="single" w:sz="8" w:color="auto"/>
            </w:tcBorders>
          </w:tcPr>
          <w:p>
            <w:pPr>
              <w:spacing w:after="0"/>
              <w:rPr>
                <w:sz w:val="15"/>
                <w:szCs w:val="15"/>
                <w:color w:val="auto"/>
              </w:rPr>
            </w:pPr>
          </w:p>
        </w:tc>
        <w:tc>
          <w:tcPr>
            <w:tcW w:w="1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PANGEA</w:t>
            </w:r>
          </w:p>
        </w:tc>
        <w:tc>
          <w:tcPr>
            <w:tcW w:w="890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previous research to derive conclusions about the procedures performed by OMNI and the related safety and efficacy of such procedures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60" w:type="dxa"/>
            <w:vAlign w:val="bottom"/>
            <w:tcBorders>
              <w:right w:val="single" w:sz="8" w:color="auto"/>
            </w:tcBorders>
          </w:tcPr>
          <w:p>
            <w:pPr>
              <w:spacing w:after="0"/>
              <w:rPr>
                <w:sz w:val="12"/>
                <w:szCs w:val="12"/>
                <w:color w:val="auto"/>
              </w:rPr>
            </w:pPr>
          </w:p>
        </w:tc>
        <w:tc>
          <w:tcPr>
            <w:tcW w:w="1660" w:type="dxa"/>
            <w:vAlign w:val="bottom"/>
            <w:vMerge w:val="continue"/>
          </w:tcPr>
          <w:p>
            <w:pPr>
              <w:spacing w:after="0"/>
              <w:rPr>
                <w:sz w:val="12"/>
                <w:szCs w:val="12"/>
                <w:color w:val="auto"/>
              </w:rPr>
            </w:pPr>
          </w:p>
        </w:tc>
        <w:tc>
          <w:tcPr>
            <w:tcW w:w="8900" w:type="dxa"/>
            <w:vAlign w:val="bottom"/>
            <w:tcBorders>
              <w:right w:val="single" w:sz="8" w:color="auto"/>
            </w:tcBorders>
          </w:tcPr>
          <w:p>
            <w:pPr>
              <w:ind w:left="620"/>
              <w:spacing w:after="0" w:line="149" w:lineRule="exact"/>
              <w:rPr>
                <w:sz w:val="20"/>
                <w:szCs w:val="20"/>
                <w:color w:val="auto"/>
              </w:rPr>
            </w:pPr>
            <w:r>
              <w:rPr>
                <w:rFonts w:ascii="Times New Roman" w:cs="Times New Roman" w:eastAsia="Times New Roman" w:hAnsi="Times New Roman"/>
                <w:sz w:val="14"/>
                <w:szCs w:val="14"/>
                <w:color w:val="auto"/>
              </w:rPr>
              <w:t>Multinational RCT study comparing the safety and efficacy of OMNI combined with phacoemulsification cataract surgery compared to</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0" w:type="dxa"/>
            <w:vAlign w:val="bottom"/>
            <w:tcBorders>
              <w:right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890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cataract surgery alone in patients with POAG</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90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231F20"/>
        </w:rPr>
        <w:t>TearCare System - Clinical Program</w:t>
      </w:r>
    </w:p>
    <w:p>
      <w:pPr>
        <w:spacing w:after="0" w:line="229"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231F20"/>
        </w:rPr>
        <w:t>We have developed robust clinical data evaluating TearCare including one RCT for TearCare ("OLYMPIA") and we completed Phase 1 (superiority over Restasis® cyclosporine drops) of our SAHARA RCT ("SAHARA") in the third quarter of 2023. Data from OLYMPIA supported the FDA clearance of TearCare’s expanded indication for use in December 2021. The Phase 1 results from SAHARA were published in December 2023 in Clinical Ophthalmology and Phase 2 (cross-over of Restasis® subjects to a single TearCare treatment) has been completed with planned publication in the first half of 2024. We plan to leverage the results of our OLYMPIA and SAHARA studies to support FDA clearances to further expand indications for use of TearCare and to support our market access strategy.</w:t>
      </w:r>
    </w:p>
    <w:p>
      <w:pPr>
        <w:spacing w:after="0" w:line="187" w:lineRule="exact"/>
        <w:rPr>
          <w:sz w:val="20"/>
          <w:szCs w:val="20"/>
          <w:color w:val="auto"/>
        </w:rPr>
      </w:pPr>
    </w:p>
    <w:p>
      <w:pPr>
        <w:ind w:right="180" w:firstLine="419"/>
        <w:spacing w:after="0" w:line="281" w:lineRule="auto"/>
        <w:rPr>
          <w:sz w:val="20"/>
          <w:szCs w:val="20"/>
          <w:color w:val="auto"/>
        </w:rPr>
      </w:pPr>
      <w:r>
        <w:rPr>
          <w:rFonts w:ascii="Times New Roman" w:cs="Times New Roman" w:eastAsia="Times New Roman" w:hAnsi="Times New Roman"/>
          <w:sz w:val="17"/>
          <w:szCs w:val="17"/>
          <w:color w:val="231F20"/>
        </w:rPr>
        <w:t>In OLYMPIA, our large multi-center RCT, the TearCare procedure was associated with statistically significant clinical improvements in all assessed signs and symptoms of DED. This included tear breakup time ("TBUT"), and meibomian gland secretion score ("MGSS"), objective measurements of DED that were the trial’s primary endpoints, as well as patient-reported symptoms surveys, including Ehlers Danlos syndrome, ocular surface disease index ("OSDI"), and symptom assessment in dry eye, at all time periods measured (both two weeks and four weeks post-treatment).</w:t>
      </w:r>
    </w:p>
    <w:p>
      <w:pPr>
        <w:spacing w:after="0" w:line="164" w:lineRule="exact"/>
        <w:rPr>
          <w:sz w:val="20"/>
          <w:szCs w:val="20"/>
          <w:color w:val="auto"/>
        </w:rPr>
      </w:pPr>
    </w:p>
    <w:p>
      <w:pPr>
        <w:ind w:right="40" w:firstLine="419"/>
        <w:spacing w:after="0" w:line="253" w:lineRule="auto"/>
        <w:rPr>
          <w:sz w:val="20"/>
          <w:szCs w:val="20"/>
          <w:color w:val="auto"/>
        </w:rPr>
      </w:pPr>
      <w:r>
        <w:rPr>
          <w:rFonts w:ascii="Times New Roman" w:cs="Times New Roman" w:eastAsia="Times New Roman" w:hAnsi="Times New Roman"/>
          <w:sz w:val="18"/>
          <w:szCs w:val="18"/>
          <w:color w:val="231F20"/>
        </w:rPr>
        <w:t xml:space="preserve">In SAHARA, our large, multi-center RCT, the TearCare procedure achieved its primary six-month endpoint, demonstrating the superiority of interventional eyelid procedures enabled by TearCare over Restasis® eyedrops in the improvement of TBUT, a key measure of aqueous retention, tear stability and the tear film’s ability to protect the ocular surface. </w:t>
      </w:r>
      <w:r>
        <w:rPr>
          <w:rFonts w:ascii="Times New Roman" w:cs="Times New Roman" w:eastAsia="Times New Roman" w:hAnsi="Times New Roman"/>
          <w:sz w:val="18"/>
          <w:szCs w:val="18"/>
          <w:color w:val="000000"/>
        </w:rPr>
        <w:t>T</w:t>
      </w:r>
      <w:r>
        <w:rPr>
          <w:rFonts w:ascii="Times New Roman" w:cs="Times New Roman" w:eastAsia="Times New Roman" w:hAnsi="Times New Roman"/>
          <w:sz w:val="18"/>
          <w:szCs w:val="18"/>
          <w:color w:val="231F20"/>
        </w:rPr>
        <w:t>he SAHARA trial also observed that procedures enabled by TearCare were non-inferior to Restasis® eyedrops in OSDI, which was the co-primary six-month endpoint. Throughout the study, interventional eyelid procedures with TearCare demonstrated clinically and statistically significant improvements of every endpoint and at every measurement interval: one week, one month, three months, and six months. Endpoints assessed include TBUT, MGSS, corneal staining, and conjunctival staining. In the next phase of the SAHARA trial, subjects in the Restasis® cohort will cease use of Restasis®, receive an interventional eyelid procedure with TearCare, and will be monitored for another six months. Subjects in the TearCare cohort will receive additional interventional eyelid procedures as necessary based on pre-determined criteria over an additional 18 months (24 months total study period) to measure the durability of procedural treatment effect. We expect publication of the one-year crossover clinical results by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Table 2: Sight Sciences TearCare Ongoing Clinical Study</w:t>
      </w:r>
    </w:p>
    <w:p>
      <w:pPr>
        <w:spacing w:after="0" w:line="224" w:lineRule="exact"/>
        <w:rPr>
          <w:sz w:val="20"/>
          <w:szCs w:val="20"/>
          <w:color w:val="auto"/>
        </w:rPr>
      </w:pPr>
    </w:p>
    <w:tbl>
      <w:tblPr>
        <w:tblLayout w:type="fixed"/>
        <w:tblInd w:w="430" w:type="dxa"/>
        <w:tblCellMar>
          <w:top w:w="0" w:type="dxa"/>
          <w:left w:w="0" w:type="dxa"/>
          <w:bottom w:w="0" w:type="dxa"/>
          <w:right w:w="0" w:type="dxa"/>
        </w:tblCellMar>
      </w:tblPr>
      <w:tr>
        <w:trPr>
          <w:trHeight w:val="235"/>
        </w:trPr>
        <w:tc>
          <w:tcPr>
            <w:tcW w:w="2420" w:type="dxa"/>
            <w:vAlign w:val="bottom"/>
            <w:tcBorders>
              <w:top w:val="single" w:sz="8" w:color="auto"/>
              <w:left w:val="single" w:sz="8" w:color="auto"/>
              <w:right w:val="single" w:sz="8" w:color="auto"/>
            </w:tcBorders>
          </w:tcPr>
          <w:p>
            <w:pPr>
              <w:ind w:left="100"/>
              <w:spacing w:after="0"/>
              <w:rPr>
                <w:sz w:val="20"/>
                <w:szCs w:val="20"/>
                <w:color w:val="auto"/>
              </w:rPr>
            </w:pPr>
            <w:r>
              <w:rPr>
                <w:rFonts w:ascii="Calibri" w:cs="Calibri" w:eastAsia="Calibri" w:hAnsi="Calibri"/>
                <w:sz w:val="18"/>
                <w:szCs w:val="18"/>
                <w:b w:val="1"/>
                <w:bCs w:val="1"/>
                <w:color w:val="auto"/>
              </w:rPr>
              <w:t>Name</w:t>
            </w:r>
          </w:p>
        </w:tc>
        <w:tc>
          <w:tcPr>
            <w:tcW w:w="8240" w:type="dxa"/>
            <w:vAlign w:val="bottom"/>
            <w:tcBorders>
              <w:top w:val="single" w:sz="8" w:color="auto"/>
              <w:right w:val="single" w:sz="8" w:color="auto"/>
            </w:tcBorders>
          </w:tcPr>
          <w:p>
            <w:pPr>
              <w:ind w:left="3700"/>
              <w:spacing w:after="0"/>
              <w:rPr>
                <w:sz w:val="20"/>
                <w:szCs w:val="20"/>
                <w:color w:val="auto"/>
              </w:rPr>
            </w:pPr>
            <w:r>
              <w:rPr>
                <w:rFonts w:ascii="Calibri" w:cs="Calibri" w:eastAsia="Calibri" w:hAnsi="Calibri"/>
                <w:sz w:val="18"/>
                <w:szCs w:val="18"/>
                <w:b w:val="1"/>
                <w:bCs w:val="1"/>
                <w:color w:val="auto"/>
              </w:rPr>
              <w:t>Descripton</w:t>
            </w:r>
          </w:p>
        </w:tc>
      </w:tr>
      <w:tr>
        <w:trPr>
          <w:trHeight w:val="150"/>
        </w:trPr>
        <w:tc>
          <w:tcPr>
            <w:tcW w:w="2420" w:type="dxa"/>
            <w:vAlign w:val="bottom"/>
            <w:tcBorders>
              <w:left w:val="single" w:sz="8" w:color="auto"/>
              <w:bottom w:val="single" w:sz="8" w:color="auto"/>
              <w:right w:val="single" w:sz="8" w:color="auto"/>
            </w:tcBorders>
          </w:tcPr>
          <w:p>
            <w:pPr>
              <w:spacing w:after="0"/>
              <w:rPr>
                <w:sz w:val="13"/>
                <w:szCs w:val="13"/>
                <w:color w:val="auto"/>
              </w:rPr>
            </w:pPr>
          </w:p>
        </w:tc>
        <w:tc>
          <w:tcPr>
            <w:tcW w:w="8240" w:type="dxa"/>
            <w:vAlign w:val="bottom"/>
            <w:tcBorders>
              <w:bottom w:val="single" w:sz="8" w:color="auto"/>
              <w:right w:val="single" w:sz="8" w:color="auto"/>
            </w:tcBorders>
          </w:tcPr>
          <w:p>
            <w:pPr>
              <w:spacing w:after="0"/>
              <w:rPr>
                <w:sz w:val="13"/>
                <w:szCs w:val="13"/>
                <w:color w:val="auto"/>
              </w:rPr>
            </w:pPr>
          </w:p>
        </w:tc>
      </w:tr>
      <w:tr>
        <w:trPr>
          <w:trHeight w:val="188"/>
        </w:trPr>
        <w:tc>
          <w:tcPr>
            <w:tcW w:w="2420" w:type="dxa"/>
            <w:vAlign w:val="bottom"/>
            <w:tcBorders>
              <w:left w:val="single" w:sz="8" w:color="auto"/>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SAHARA</w:t>
            </w:r>
          </w:p>
        </w:tc>
        <w:tc>
          <w:tcPr>
            <w:tcW w:w="82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NCT04795752: Prospective, Randomized, Masked, Controlled Trial To Evaluate The Safety And Effectiveness</w:t>
            </w: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The TearCare® System In The Treatment Of The Signs And Symptoms Of Dry Eye Disease. Control group</w:t>
            </w: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 self-administer Restasis® for six months then receive one TearCare treatment. Following the six-month</w:t>
            </w: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primary endpoint, patients in the control group will stop Restasis and receive a single TearCare treatment and</w:t>
            </w: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continue to be followed for an additional six months. Patients in the TearCare group will continue to be</w:t>
            </w: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8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followed for an additional 18 months with repeat TearCare treatments as needed according to protocol</w:t>
            </w:r>
          </w:p>
        </w:tc>
      </w:tr>
      <w:tr>
        <w:trPr>
          <w:trHeight w:val="241"/>
        </w:trPr>
        <w:tc>
          <w:tcPr>
            <w:tcW w:w="2420" w:type="dxa"/>
            <w:vAlign w:val="bottom"/>
            <w:tcBorders>
              <w:left w:val="single" w:sz="8" w:color="auto"/>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specified criteria.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Commercial Approach</w:t>
      </w:r>
    </w:p>
    <w:p>
      <w:pPr>
        <w:spacing w:after="0" w:line="229" w:lineRule="exact"/>
        <w:rPr>
          <w:sz w:val="20"/>
          <w:szCs w:val="20"/>
          <w:color w:val="auto"/>
        </w:rPr>
      </w:pPr>
    </w:p>
    <w:p>
      <w:pPr>
        <w:ind w:right="140" w:firstLine="419"/>
        <w:spacing w:after="0" w:line="254" w:lineRule="auto"/>
        <w:rPr>
          <w:sz w:val="20"/>
          <w:szCs w:val="20"/>
          <w:color w:val="auto"/>
        </w:rPr>
      </w:pPr>
      <w:r>
        <w:rPr>
          <w:rFonts w:ascii="Times New Roman" w:cs="Times New Roman" w:eastAsia="Times New Roman" w:hAnsi="Times New Roman"/>
          <w:sz w:val="18"/>
          <w:szCs w:val="18"/>
          <w:color w:val="231F20"/>
        </w:rPr>
        <w:t>We have built a world-class direct sales commercial organization that features professionals and executives with substantial leadership experience from leading ophthalmic product companies. In particular, we have recruited professionals with track records that include launching new technologies, growing primary demand, changing treatment paradigms and securing market access from payors. We believe this expertise is crucial to achieve our market development objectives for interventional standalone MIGS and MGD treatment. Sales representatives typically have relevant experience across medical device and/or pharmaceutical sales focused on eyecare to ensure the development of a trusted consultative relationship with our ECPs. As we have developed our clinical data and brand recognition, we believe our team has differentiated our product offerings and gained commercial traction through exceptional, highly involved training, support and ongoing professional education. As of December 31, 2023, our overall commercial team consisted of approximately 130 professionals dedicated to sales, marketing, commercial support, training and professional relations.</w:t>
      </w: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1305" w:right="379" w:bottom="1440" w:gutter="0" w:footer="0" w:header="0"/>
        </w:sectPr>
      </w:pPr>
    </w:p>
    <w:bookmarkStart w:id="13" w:name="page14"/>
    <w:bookmarkEnd w:id="13"/>
    <w:p>
      <w:pPr>
        <w:ind w:right="280" w:firstLine="419"/>
        <w:spacing w:after="0" w:line="261" w:lineRule="auto"/>
        <w:rPr>
          <w:sz w:val="20"/>
          <w:szCs w:val="20"/>
          <w:color w:val="auto"/>
        </w:rPr>
      </w:pPr>
      <w:r>
        <w:rPr>
          <w:rFonts w:ascii="Times New Roman" w:cs="Times New Roman" w:eastAsia="Times New Roman" w:hAnsi="Times New Roman"/>
          <w:sz w:val="18"/>
          <w:szCs w:val="18"/>
          <w:color w:val="231F20"/>
        </w:rPr>
        <w:t>We maintain distinct sales, marketing, and training teams to support our business segments because our products are predominantly sold to different types of customers and require specialized product specific sales expertise and ECP training to integrate our products into their practices. We sell OMNI and SION to facilities where ophthalmic surgeons perform outpatient procedures, particularly ASCs and hospital outpatient departments ("HOPDs"). We sell TearCare to optometry and ophthalmology practices.</w:t>
      </w:r>
    </w:p>
    <w:p>
      <w:pPr>
        <w:spacing w:after="0" w:line="180"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231F20"/>
        </w:rPr>
        <w:t>Our marketing efforts are centered around increasing awareness of our products and presenting clinical study results through leading medical publications and at large industry and scientific meetings, both directly and through our advisors. We have also partnered with qualified ECPs to speak to peers on our behalf through educational forums. Clinical data that demonstrate the benefits of OMNI and TearCare for their authorized uses will continue to underpin our commercial efforts and we intend to continue to devote significant resources to conduct new clinical studies and publish articles in peer-reviewed journals.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Seasonality</w:t>
      </w:r>
    </w:p>
    <w:p>
      <w:pPr>
        <w:spacing w:after="0" w:line="229"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We believe our sales may be impacted by seasonal factors. For example, we typically experience higher procedure volumes in the second and fourth quarters versus the first and third quarters. Demand is often lower during summer months because of ECP vacations and in winter months in certain parts of the world because of fewer business or surgery days due to holidays and adverse weather conditions. But this may vary year-over year as it did in 2023 where demand was softer in the fourth quarter due to the impacts of the Draft LCDs, as amended, that were ultimately withdrawn by the MACs but created demand uncertainty in the period. Seasonality in future periods may also be impacted by reimbursement coverage, sales infrastructure, and consumer and physicians’ behaviors and confidence.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Reimbursement</w:t>
      </w:r>
    </w:p>
    <w:p>
      <w:pPr>
        <w:spacing w:after="0" w:line="229" w:lineRule="exact"/>
        <w:rPr>
          <w:sz w:val="20"/>
          <w:szCs w:val="20"/>
          <w:color w:val="auto"/>
        </w:rPr>
      </w:pPr>
    </w:p>
    <w:p>
      <w:pPr>
        <w:ind w:right="80" w:firstLine="419"/>
        <w:spacing w:after="0" w:line="256" w:lineRule="auto"/>
        <w:rPr>
          <w:sz w:val="20"/>
          <w:szCs w:val="20"/>
          <w:color w:val="auto"/>
        </w:rPr>
      </w:pPr>
      <w:r>
        <w:rPr>
          <w:rFonts w:ascii="Times New Roman" w:cs="Times New Roman" w:eastAsia="Times New Roman" w:hAnsi="Times New Roman"/>
          <w:sz w:val="18"/>
          <w:szCs w:val="18"/>
          <w:color w:val="231F20"/>
        </w:rPr>
        <w:t>Our commercial activities are substantially within the United States. We sell our Surgical Glaucoma products primarily to ASCs and HOPDs, who in turn bill various third-party payors, such as Medicare and private health insurance plans for the healthcare services and resources rendered to treat a patient. TearCare is not currently covered or paid by Medicare or private payors under any formal policy, although some payors may agree to provide case-based coverage outside of a formal policy. Our market access team facilitates patient access to the OMNI, SION and TearCare systems by engaging payors on coverage, coding and payment matters, and by providing support to patients and our customers as they seek reimbursement from payors that do not have positive coverage or those that do not have formal policies in place regarding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Reimbursement for Uses of the OMNI Surgical System and SION Surgical Instrument</w:t>
      </w:r>
    </w:p>
    <w:p>
      <w:pPr>
        <w:spacing w:after="0" w:line="229" w:lineRule="exact"/>
        <w:rPr>
          <w:sz w:val="20"/>
          <w:szCs w:val="20"/>
          <w:color w:val="auto"/>
        </w:rPr>
      </w:pPr>
    </w:p>
    <w:p>
      <w:pPr>
        <w:ind w:right="540" w:firstLine="419"/>
        <w:spacing w:after="0" w:line="282" w:lineRule="auto"/>
        <w:rPr>
          <w:sz w:val="20"/>
          <w:szCs w:val="20"/>
          <w:color w:val="auto"/>
        </w:rPr>
      </w:pPr>
      <w:r>
        <w:rPr>
          <w:rFonts w:ascii="Times New Roman" w:cs="Times New Roman" w:eastAsia="Times New Roman" w:hAnsi="Times New Roman"/>
          <w:sz w:val="18"/>
          <w:szCs w:val="18"/>
          <w:color w:val="231F20"/>
        </w:rPr>
        <w:t>Surgeons are able to perform a comprehensive outflow procedure enabled by OMNI or a partial outflow procedure focused on the trabecular meshwork with SION.</w:t>
      </w:r>
    </w:p>
    <w:p>
      <w:pPr>
        <w:spacing w:after="0" w:line="162" w:lineRule="exact"/>
        <w:rPr>
          <w:sz w:val="20"/>
          <w:szCs w:val="20"/>
          <w:color w:val="auto"/>
        </w:rPr>
      </w:pPr>
    </w:p>
    <w:p>
      <w:pPr>
        <w:ind w:right="220" w:firstLine="419"/>
        <w:spacing w:after="0" w:line="256" w:lineRule="auto"/>
        <w:rPr>
          <w:sz w:val="20"/>
          <w:szCs w:val="20"/>
          <w:color w:val="auto"/>
        </w:rPr>
      </w:pPr>
      <w:r>
        <w:rPr>
          <w:rFonts w:ascii="Times New Roman" w:cs="Times New Roman" w:eastAsia="Times New Roman" w:hAnsi="Times New Roman"/>
          <w:sz w:val="18"/>
          <w:szCs w:val="18"/>
          <w:color w:val="231F20"/>
        </w:rPr>
        <w:t>Medicare coverage of non-implant MIGS procedures is available outside of a formal coverage policy. Widespread coverage is important for commercial adoption. Based on POAG prevalence, we estimate that currently approximately 70% of patients who receive glaucoma treatment are covered by Medicare (fee-for-service and Medicare Advantage plans). Private payor coverage policies vary for procedures that may be performed with OMNI or SION technologies. For instance, in the United States, some commercial payors, including numerous Blue Cross Blue Shield plans, Cigna plans, and Aetna plans, have published medical policies that consider canaloplasty medically necessary for the treatment of glaucoma, though specific criteria for coverage may vary depending on the payor.</w:t>
      </w:r>
    </w:p>
    <w:p>
      <w:pPr>
        <w:spacing w:after="0" w:line="187"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231F20"/>
        </w:rPr>
        <w:t>Additionally, as with many healthcare items and services, some health plans cover the procedures performed using OMNI and SION outside of a formal coverage policy. Where coverage is less consistent or is limited, as is the case with certain commercial payors, our market access team works with payors directly and with customers to facilitate patient access to our Surgical Glaucoma products by working towards securing appropriate coverage and reimbursement. We have established and continue to build a substantial library of clinical evidence and health economics outcomes research data and published articles to directly address the needs of payors. We believe that the results from our completed, in-progress and planned clinical trials and subsequent accompanying peer-reviewed articles will help to expand and solidify coverage of procedures performed using OMNI and SION. We estimate that, as of December 31, 2023, approximately 79% of people with medical benefit coverage have reimbursed access to the canaloplasty procedures and procedures performed using</w:t>
      </w: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1093" w:right="379" w:bottom="1440" w:gutter="0" w:footer="0" w:header="0"/>
        </w:sectPr>
      </w:pPr>
    </w:p>
    <w:bookmarkStart w:id="14" w:name="page15"/>
    <w:bookmarkEnd w:id="14"/>
    <w:p>
      <w:pPr>
        <w:ind w:left="100" w:right="180"/>
        <w:spacing w:after="0" w:line="282" w:lineRule="auto"/>
        <w:rPr>
          <w:sz w:val="20"/>
          <w:szCs w:val="20"/>
          <w:color w:val="auto"/>
        </w:rPr>
      </w:pPr>
      <w:r>
        <w:rPr>
          <w:rFonts w:ascii="Times New Roman" w:cs="Times New Roman" w:eastAsia="Times New Roman" w:hAnsi="Times New Roman"/>
          <w:sz w:val="18"/>
          <w:szCs w:val="18"/>
          <w:color w:val="231F20"/>
        </w:rPr>
        <w:t>OMNI specifically under such coverage. In particular, we continue to proactively engage with the remaining key national and regional payors currently not covering performed using OMNI to seek reversals of their current non-coverage policies.</w:t>
      </w:r>
    </w:p>
    <w:p>
      <w:pPr>
        <w:spacing w:after="0" w:line="162" w:lineRule="exact"/>
        <w:rPr>
          <w:sz w:val="20"/>
          <w:szCs w:val="20"/>
          <w:color w:val="auto"/>
        </w:rPr>
      </w:pPr>
    </w:p>
    <w:p>
      <w:pPr>
        <w:ind w:left="100" w:firstLine="419"/>
        <w:spacing w:after="0" w:line="254" w:lineRule="auto"/>
        <w:rPr>
          <w:sz w:val="20"/>
          <w:szCs w:val="20"/>
          <w:color w:val="auto"/>
        </w:rPr>
      </w:pPr>
      <w:r>
        <w:rPr>
          <w:rFonts w:ascii="Times New Roman" w:cs="Times New Roman" w:eastAsia="Times New Roman" w:hAnsi="Times New Roman"/>
          <w:sz w:val="18"/>
          <w:szCs w:val="18"/>
          <w:color w:val="231F20"/>
        </w:rPr>
        <w:t>Virtually all sales of OMNI and SION in the U.S. are to ASCs and HOPDs. Per Medicare and many private payor payment policies, when certain procedures are performed in the ASC setting on the same day, such as cataract surgery, canaloplasty and goniotomy, multiple procedure payment reduction rules apply. Therefore, when a canaloplasty or goniotomy is performed with cataract surgery on the same patient on the same day, payment of the lower-cost procedure (most commonly the cataract procedure) is reduced by 50%. Multiple procedure payment reduction rules also typically apply to professional services. Physicians are likely to be paid at a reduced rate for lower valued procedures when performed concomitantly. In the HOPD setting, Medicare procedures performed using OMNI and SION as well as cataract procedures, are paid under comprehensive ambulatory payment classifications ("C-APCs"). In these circumstances, the highest valued code is paid at 100%, with payment for additional procedures performed during the same operative session bundled into the single highest payment rate. Many commercial payors use a similar payment methodology, but payment rules can vary across health plans, particularly across plan types (e.g., HMO, PPO, POS).</w:t>
      </w:r>
    </w:p>
    <w:p>
      <w:pPr>
        <w:spacing w:after="0" w:line="188" w:lineRule="exact"/>
        <w:rPr>
          <w:sz w:val="20"/>
          <w:szCs w:val="20"/>
          <w:color w:val="auto"/>
        </w:rPr>
      </w:pPr>
    </w:p>
    <w:p>
      <w:pPr>
        <w:ind w:left="100" w:right="360" w:firstLine="419"/>
        <w:spacing w:after="0" w:line="282" w:lineRule="auto"/>
        <w:rPr>
          <w:sz w:val="20"/>
          <w:szCs w:val="20"/>
          <w:color w:val="auto"/>
        </w:rPr>
      </w:pPr>
      <w:r>
        <w:rPr>
          <w:rFonts w:ascii="Times New Roman" w:cs="Times New Roman" w:eastAsia="Times New Roman" w:hAnsi="Times New Roman"/>
          <w:sz w:val="18"/>
          <w:szCs w:val="18"/>
          <w:color w:val="231F20"/>
        </w:rPr>
        <w:t>The rates for procedures performed with our products vary depending on the code billed and the setting where the procedure is performed. The table below outlines the Medicare national unadjusted average payment rates for each in 2023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9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HOPD Facility Payment Rate</w:t>
            </w:r>
          </w:p>
        </w:tc>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ASC Facility Payment Rate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Physician Payment Rate</w:t>
            </w:r>
          </w:p>
        </w:tc>
      </w:tr>
      <w:tr>
        <w:trPr>
          <w:trHeight w:val="233"/>
        </w:trPr>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HCPCS Code</w:t>
            </w:r>
          </w:p>
        </w:tc>
        <w:tc>
          <w:tcPr>
            <w:tcW w:w="22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Descriptor</w:t>
            </w:r>
          </w:p>
        </w:tc>
        <w:tc>
          <w:tcPr>
            <w:tcW w:w="16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1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7"/>
              </w:rPr>
              <w:t>65820</w:t>
            </w:r>
          </w:p>
        </w:tc>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Goniotomy</w:t>
            </w:r>
          </w:p>
        </w:tc>
        <w:tc>
          <w:tcPr>
            <w:tcW w:w="1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$3,996</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$1,969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$2,045</w:t>
            </w: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$827</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$803</w:t>
            </w:r>
          </w:p>
        </w:tc>
      </w:tr>
      <w:tr>
        <w:trPr>
          <w:trHeight w:val="234"/>
        </w:trPr>
        <w:tc>
          <w:tcPr>
            <w:tcW w:w="1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7"/>
              </w:rPr>
              <w:t>66174</w:t>
            </w:r>
          </w:p>
        </w:tc>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Canaloplasty</w:t>
            </w:r>
          </w:p>
        </w:tc>
        <w:tc>
          <w:tcPr>
            <w:tcW w:w="1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$3,996</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$1.969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$2,045</w:t>
            </w: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$622</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$608</w:t>
            </w:r>
          </w:p>
        </w:tc>
      </w:tr>
    </w:tbl>
    <w:p>
      <w:pPr>
        <w:spacing w:after="0" w:line="211" w:lineRule="exact"/>
        <w:rPr>
          <w:sz w:val="20"/>
          <w:szCs w:val="20"/>
          <w:color w:val="auto"/>
        </w:rPr>
      </w:pPr>
    </w:p>
    <w:p>
      <w:pPr>
        <w:ind w:left="100" w:firstLine="419"/>
        <w:spacing w:after="0" w:line="261" w:lineRule="auto"/>
        <w:rPr>
          <w:sz w:val="20"/>
          <w:szCs w:val="20"/>
          <w:color w:val="auto"/>
        </w:rPr>
      </w:pPr>
      <w:r>
        <w:rPr>
          <w:rFonts w:ascii="Times New Roman" w:cs="Times New Roman" w:eastAsia="Times New Roman" w:hAnsi="Times New Roman"/>
          <w:sz w:val="18"/>
          <w:szCs w:val="18"/>
          <w:color w:val="231F20"/>
        </w:rPr>
        <w:t>These Medicare national unadjusted average facility payment rates are classified as comprehensive C-APCs, therefore in the HOPD setting, the highest valued code will be paid and other C-APC classified procedures will be bundled into the highest paid procedure. Based on customer feedback, we believe the rates for facility and physician reimbursement in both settings reflect attractive and reasonable payments to cover all of our customers’ costs and economic needs related to glaucoma treatments using OMNI and SION.</w:t>
      </w:r>
    </w:p>
    <w:p>
      <w:pPr>
        <w:spacing w:after="0" w:line="180" w:lineRule="exact"/>
        <w:rPr>
          <w:sz w:val="20"/>
          <w:szCs w:val="20"/>
          <w:color w:val="auto"/>
        </w:rPr>
      </w:pPr>
    </w:p>
    <w:p>
      <w:pPr>
        <w:ind w:left="100" w:right="100" w:firstLine="419"/>
        <w:spacing w:after="0" w:line="271" w:lineRule="auto"/>
        <w:rPr>
          <w:sz w:val="20"/>
          <w:szCs w:val="20"/>
          <w:color w:val="auto"/>
        </w:rPr>
      </w:pPr>
      <w:r>
        <w:rPr>
          <w:rFonts w:ascii="Times New Roman" w:cs="Times New Roman" w:eastAsia="Times New Roman" w:hAnsi="Times New Roman"/>
          <w:sz w:val="17"/>
          <w:szCs w:val="17"/>
          <w:color w:val="231F20"/>
        </w:rPr>
        <w:t>While commercialization of OMNI has primarily been focused on the U.S., we have also begun international commercialization efforts. Outside the U.S., we have focused our efforts in the United Kingdom and Germany, where we have hired local commercial and market access teams to promote OMNI to health care professionals, and we use distributors in other countries in Europe. Although Germany employs a single-payor health system and national MIGS procedure codes (which include canaloplasty and trabeculotomy), coverage decisions are made on a decentralized basis by the Physician’s Associations (</w:t>
      </w:r>
      <w:r>
        <w:rPr>
          <w:rFonts w:ascii="Times New Roman" w:cs="Times New Roman" w:eastAsia="Times New Roman" w:hAnsi="Times New Roman"/>
          <w:sz w:val="17"/>
          <w:szCs w:val="17"/>
          <w:i w:val="1"/>
          <w:iCs w:val="1"/>
          <w:color w:val="231F20"/>
        </w:rPr>
        <w:t>Kassenärztliche Vereinigung</w:t>
      </w:r>
      <w:r>
        <w:rPr>
          <w:rFonts w:ascii="Times New Roman" w:cs="Times New Roman" w:eastAsia="Times New Roman" w:hAnsi="Times New Roman"/>
          <w:sz w:val="17"/>
          <w:szCs w:val="17"/>
          <w:color w:val="231F20"/>
        </w:rPr>
        <w:t>) ("KVs") in each of Germany's regions. To date, the procedures most commonly performed with OMNI and SION are covered in all regions and we are working towards educating ECPs across all these regions regarding the appropriate procurement and submission of claims for reimbursement from the KVs to facilitate access to OMNI for patients and ECPs. In the United Kingdom, we believe the National Health System’s tariffs, or payments, for MIGS procedures, including procedures performed using OMNI, will continue to be favorable. As we expand into other countries, we intend to establish payor coverage and reimbursement strategies that are appropriate for each local market.</w:t>
      </w:r>
    </w:p>
    <w:p>
      <w:pPr>
        <w:spacing w:after="0" w:line="1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231F20"/>
        </w:rPr>
        <w:t>Reimbursement for Uses of the TearCare System</w:t>
      </w:r>
    </w:p>
    <w:p>
      <w:pPr>
        <w:spacing w:after="0" w:line="229" w:lineRule="exact"/>
        <w:rPr>
          <w:sz w:val="20"/>
          <w:szCs w:val="20"/>
          <w:color w:val="auto"/>
        </w:rPr>
      </w:pPr>
    </w:p>
    <w:p>
      <w:pPr>
        <w:ind w:left="100" w:right="160" w:firstLine="419"/>
        <w:spacing w:after="0" w:line="256" w:lineRule="auto"/>
        <w:rPr>
          <w:sz w:val="20"/>
          <w:szCs w:val="20"/>
          <w:color w:val="auto"/>
        </w:rPr>
      </w:pPr>
      <w:r>
        <w:rPr>
          <w:rFonts w:ascii="Times New Roman" w:cs="Times New Roman" w:eastAsia="Times New Roman" w:hAnsi="Times New Roman"/>
          <w:sz w:val="18"/>
          <w:szCs w:val="18"/>
          <w:color w:val="231F20"/>
        </w:rPr>
        <w:t>TearCare is not currently covered by Medicare or private payors via formal medical policy, although some payors may agree to provide coverage and payment outside of formal policy. In December 2021, the FDA cleared TearCare for the application of localized heat therapy in adult patients with evaporative DED due to MGD, when used in conjunction with manual expression of the meibomian glands. We believe the current standard of care (representing over 95% of the existing market), which primarily consists of warm compresses, over-the-counter artificial tears, or lubricating and prescription eyedrops, does not treat the root cause of MGD. We believe TearCare has the potential to offer a better standard of care for evaporative dry eye patients and reduce overall costs for payors.</w:t>
      </w:r>
    </w:p>
    <w:p>
      <w:pPr>
        <w:spacing w:after="0" w:line="187" w:lineRule="exact"/>
        <w:rPr>
          <w:sz w:val="20"/>
          <w:szCs w:val="20"/>
          <w:color w:val="auto"/>
        </w:rPr>
      </w:pPr>
    </w:p>
    <w:p>
      <w:pPr>
        <w:ind w:left="100" w:right="180" w:firstLine="419"/>
        <w:spacing w:after="0" w:line="282" w:lineRule="auto"/>
        <w:rPr>
          <w:sz w:val="20"/>
          <w:szCs w:val="20"/>
          <w:color w:val="auto"/>
        </w:rPr>
      </w:pPr>
      <w:r>
        <w:rPr>
          <w:rFonts w:ascii="Times New Roman" w:cs="Times New Roman" w:eastAsia="Times New Roman" w:hAnsi="Times New Roman"/>
          <w:sz w:val="18"/>
          <w:szCs w:val="18"/>
          <w:color w:val="231F20"/>
        </w:rPr>
        <w:t>Despite the presence of a large and growing patient-pay market for TearCare as shown in our controlled launch, we believe that improving access to TearCare through positive coverage decisions by Medicare and private payors will help</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93" w:right="399" w:bottom="1440" w:gutter="0" w:footer="0" w:header="0"/>
        </w:sectPr>
      </w:pPr>
    </w:p>
    <w:bookmarkStart w:id="15" w:name="page16"/>
    <w:bookmarkEnd w:id="15"/>
    <w:p>
      <w:pPr>
        <w:ind w:right="580"/>
        <w:spacing w:after="0" w:line="282" w:lineRule="auto"/>
        <w:rPr>
          <w:sz w:val="20"/>
          <w:szCs w:val="20"/>
          <w:color w:val="auto"/>
        </w:rPr>
      </w:pPr>
      <w:r>
        <w:rPr>
          <w:rFonts w:ascii="Times New Roman" w:cs="Times New Roman" w:eastAsia="Times New Roman" w:hAnsi="Times New Roman"/>
          <w:sz w:val="18"/>
          <w:szCs w:val="18"/>
          <w:color w:val="231F20"/>
        </w:rPr>
        <w:t>grow the market for the TearCare procedures. We are pursuing a vigorous market access development plan to obtain more favorable policies from Medicare and private payors for procedures using TearCare in the U.S.</w:t>
      </w:r>
    </w:p>
    <w:p>
      <w:pPr>
        <w:spacing w:after="0" w:line="162" w:lineRule="exact"/>
        <w:rPr>
          <w:sz w:val="20"/>
          <w:szCs w:val="20"/>
          <w:color w:val="auto"/>
        </w:rPr>
      </w:pPr>
    </w:p>
    <w:p>
      <w:pPr>
        <w:ind w:right="200" w:firstLine="419"/>
        <w:spacing w:after="0" w:line="261" w:lineRule="auto"/>
        <w:rPr>
          <w:sz w:val="20"/>
          <w:szCs w:val="20"/>
          <w:color w:val="auto"/>
        </w:rPr>
      </w:pPr>
      <w:r>
        <w:rPr>
          <w:rFonts w:ascii="Times New Roman" w:cs="Times New Roman" w:eastAsia="Times New Roman" w:hAnsi="Times New Roman"/>
          <w:sz w:val="18"/>
          <w:szCs w:val="18"/>
          <w:color w:val="231F20"/>
        </w:rPr>
        <w:t>Category III CPT code 0563T, which became effective January 1, 2020, describes the heating of meibomian glands using a wearable open-eye device and manual evacuation of meibomian glands. This code allows providers to pursue reimbursement and payors to establish payment rates for the procedure. Prior to formal coverage decisions or establishment of a permanent Category I code, third-party payors may cover procedures billed with temporary Category III codes on a case-by-case basis.</w:t>
      </w:r>
    </w:p>
    <w:p>
      <w:pPr>
        <w:spacing w:after="0" w:line="178" w:lineRule="exact"/>
        <w:rPr>
          <w:sz w:val="20"/>
          <w:szCs w:val="20"/>
          <w:color w:val="auto"/>
        </w:rPr>
      </w:pPr>
    </w:p>
    <w:p>
      <w:pPr>
        <w:ind w:right="120" w:firstLine="419"/>
        <w:spacing w:after="0" w:line="257" w:lineRule="auto"/>
        <w:rPr>
          <w:sz w:val="20"/>
          <w:szCs w:val="20"/>
          <w:color w:val="auto"/>
        </w:rPr>
      </w:pPr>
      <w:r>
        <w:rPr>
          <w:rFonts w:ascii="Times New Roman" w:cs="Times New Roman" w:eastAsia="Times New Roman" w:hAnsi="Times New Roman"/>
          <w:sz w:val="18"/>
          <w:szCs w:val="18"/>
          <w:color w:val="231F20"/>
        </w:rPr>
        <w:t xml:space="preserve">We continue to generate clinical data to support positive coverage decisions from Medicare and private payors. In December 2023, </w:t>
      </w:r>
      <w:r>
        <w:rPr>
          <w:rFonts w:ascii="Times New Roman" w:cs="Times New Roman" w:eastAsia="Times New Roman" w:hAnsi="Times New Roman"/>
          <w:sz w:val="18"/>
          <w:szCs w:val="18"/>
          <w:i w:val="1"/>
          <w:iCs w:val="1"/>
          <w:color w:val="231F20"/>
        </w:rPr>
        <w:t>Clinical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Ophthalmology </w:t>
      </w:r>
      <w:r>
        <w:rPr>
          <w:rFonts w:ascii="Times New Roman" w:cs="Times New Roman" w:eastAsia="Times New Roman" w:hAnsi="Times New Roman"/>
          <w:sz w:val="18"/>
          <w:szCs w:val="18"/>
          <w:color w:val="231F20"/>
        </w:rPr>
        <w:t>published the results of the six-month SAHARA RCT. This randomized controlled trial compared treatment using TearCare to the most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commonly prescribed MGD therapeutic on the market. The data generated in the SAHARA RCT demonstrated that interventional eyelid procedures for dry eye disease enabled by TearCare were superior at all measured time points through six months to twice daily prescription eyedrops for the improvement of TBUT, the trial’s primary dry eye signs endpoint and a key measure of aqueous retention, tear stability and the tear film’s ability to protect the ocular surface.</w:t>
      </w:r>
    </w:p>
    <w:p>
      <w:pPr>
        <w:spacing w:after="0" w:line="182" w:lineRule="exact"/>
        <w:rPr>
          <w:sz w:val="20"/>
          <w:szCs w:val="20"/>
          <w:color w:val="auto"/>
        </w:rPr>
      </w:pPr>
    </w:p>
    <w:p>
      <w:pPr>
        <w:ind w:right="40" w:firstLine="419"/>
        <w:spacing w:after="0" w:line="275" w:lineRule="auto"/>
        <w:rPr>
          <w:sz w:val="20"/>
          <w:szCs w:val="20"/>
          <w:color w:val="auto"/>
        </w:rPr>
      </w:pPr>
      <w:r>
        <w:rPr>
          <w:rFonts w:ascii="Times New Roman" w:cs="Times New Roman" w:eastAsia="Times New Roman" w:hAnsi="Times New Roman"/>
          <w:sz w:val="17"/>
          <w:szCs w:val="17"/>
          <w:color w:val="231F20"/>
        </w:rPr>
        <w:t xml:space="preserve">In September 2021, an article discussing results from our OLYMPIA RCT was published in </w:t>
      </w:r>
      <w:r>
        <w:rPr>
          <w:rFonts w:ascii="Times New Roman" w:cs="Times New Roman" w:eastAsia="Times New Roman" w:hAnsi="Times New Roman"/>
          <w:sz w:val="17"/>
          <w:szCs w:val="17"/>
          <w:i w:val="1"/>
          <w:iCs w:val="1"/>
          <w:color w:val="231F20"/>
        </w:rPr>
        <w:t>Cornea</w:t>
      </w:r>
      <w:r>
        <w:rPr>
          <w:rFonts w:ascii="Times New Roman" w:cs="Times New Roman" w:eastAsia="Times New Roman" w:hAnsi="Times New Roman"/>
          <w:sz w:val="17"/>
          <w:szCs w:val="17"/>
          <w:color w:val="231F20"/>
        </w:rPr>
        <w:t xml:space="preserve">. This randomized controlled trial compared treatment using TearCare to the leading alternative MGD treatment device on the market. In the study, we observed that a single use of TearCare was associated with improvement in each of the signs and symptoms of DED within two weeks of treatment in subjects with MGD. A subset analysis of patients in the OLYMPIA trial with advanced dry eye disease demonstrating superior symptoms improvements with TearCare compared to an alternative MGD treatment device was published in </w:t>
      </w:r>
      <w:r>
        <w:rPr>
          <w:rFonts w:ascii="Times New Roman" w:cs="Times New Roman" w:eastAsia="Times New Roman" w:hAnsi="Times New Roman"/>
          <w:sz w:val="17"/>
          <w:szCs w:val="17"/>
          <w:i w:val="1"/>
          <w:iCs w:val="1"/>
          <w:color w:val="231F20"/>
        </w:rPr>
        <w:t>Clinical Ophthalmology</w:t>
      </w:r>
      <w:r>
        <w:rPr>
          <w:rFonts w:ascii="Times New Roman" w:cs="Times New Roman" w:eastAsia="Times New Roman" w:hAnsi="Times New Roman"/>
          <w:sz w:val="17"/>
          <w:szCs w:val="17"/>
          <w:color w:val="231F20"/>
        </w:rPr>
        <w:t xml:space="preserve"> (August 2022). Additionally, results from the CHEETAH study suggesting that a single TearCare procedure is safe and effective in treatment signs and symptoms of DED were published in </w:t>
      </w:r>
      <w:r>
        <w:rPr>
          <w:rFonts w:ascii="Times New Roman" w:cs="Times New Roman" w:eastAsia="Times New Roman" w:hAnsi="Times New Roman"/>
          <w:sz w:val="17"/>
          <w:szCs w:val="17"/>
          <w:i w:val="1"/>
          <w:iCs w:val="1"/>
          <w:color w:val="231F20"/>
        </w:rPr>
        <w:t>Clinical Ophthalmology</w:t>
      </w:r>
      <w:r>
        <w:rPr>
          <w:rFonts w:ascii="Times New Roman" w:cs="Times New Roman" w:eastAsia="Times New Roman" w:hAnsi="Times New Roman"/>
          <w:sz w:val="17"/>
          <w:szCs w:val="17"/>
          <w:color w:val="231F20"/>
        </w:rPr>
        <w:t xml:space="preserve"> (December 2020).</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Our comprehensive long-term strategy to improve patient access to TearCare includes the following key initiatives:</w:t>
      </w:r>
    </w:p>
    <w:p>
      <w:pPr>
        <w:spacing w:after="0" w:line="221" w:lineRule="exact"/>
        <w:rPr>
          <w:sz w:val="20"/>
          <w:szCs w:val="20"/>
          <w:color w:val="auto"/>
        </w:rPr>
      </w:pPr>
    </w:p>
    <w:p>
      <w:pPr>
        <w:ind w:left="800" w:hanging="283"/>
        <w:spacing w:after="0"/>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Demonstrate the effectiveness, safety and durability of TearCare with rigorous clinical data;</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Augment library of published articles on TearCare;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Support coverage applications; and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Convert to permanent Category I CPT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229"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We believe our focus on developing and marketing intuitively designed products that are intended to restore the eye’s natural physiological function by addressing underlying causes of eye disease will be an important factor in our future success. The medical device and pharmaceutical industries are intensely competitive, subject to rapid change and significantly affected by new product introductions and other market activities of industry participants. We compete with medical device and pharmaceutical companies that develop and commercialize products for eye conditions. Notable competitors with approved MIGS products include Glaukos, Alcon/Ivantis, AbbVie/Allergan, New World Medical, and Nova Eye Medical Limited. Notable competitors with approved DED products include AbbVie/Allergan, Novartis, Johnson &amp; Johnson, and Alcon. Some of our competitors are larger, well-capitalized companies with greater current market share and resources. We also compete with several smaller medical device companies that have single products or a limited range of products. Some of our competitors have:</w:t>
      </w:r>
    </w:p>
    <w:p>
      <w:pPr>
        <w:spacing w:after="0" w:line="84" w:lineRule="exact"/>
        <w:rPr>
          <w:sz w:val="20"/>
          <w:szCs w:val="20"/>
          <w:color w:val="auto"/>
        </w:rPr>
      </w:pPr>
    </w:p>
    <w:p>
      <w:pPr>
        <w:ind w:left="800" w:hanging="283"/>
        <w:spacing w:after="0"/>
        <w:tabs>
          <w:tab w:leader="none" w:pos="8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Significantly greater name recognition;</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Broader or deeper relations with healthcare professionals, customers, industry associations and third-party payors;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More established distribution networks;</w:t>
      </w:r>
    </w:p>
    <w:p>
      <w:pPr>
        <w:spacing w:after="0" w:line="117" w:lineRule="exact"/>
        <w:rPr>
          <w:rFonts w:ascii="Times New Roman" w:cs="Times New Roman" w:eastAsia="Times New Roman" w:hAnsi="Times New Roman"/>
          <w:sz w:val="18"/>
          <w:szCs w:val="18"/>
          <w:color w:val="231F20"/>
        </w:rPr>
      </w:pPr>
    </w:p>
    <w:p>
      <w:pPr>
        <w:ind w:left="800" w:right="720" w:hanging="283"/>
        <w:spacing w:after="0" w:line="282" w:lineRule="auto"/>
        <w:tabs>
          <w:tab w:leader="none" w:pos="80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Additional lines of products and the ability to offer rebates or bundle products to offer greater discounts or other incentives to attract adoption;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16" w:name="page17"/>
    <w:bookmarkEnd w:id="16"/>
    <w:p>
      <w:pPr>
        <w:ind w:left="800" w:right="1080" w:hanging="283"/>
        <w:spacing w:after="0" w:line="282" w:lineRule="auto"/>
        <w:tabs>
          <w:tab w:leader="none" w:pos="8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Greater experience in conducting research and development, manufacturing, clinical trials, marketing and obtaining regulatory clearance or approval for products; and</w:t>
      </w:r>
    </w:p>
    <w:p>
      <w:pPr>
        <w:spacing w:after="0" w:line="53" w:lineRule="exact"/>
        <w:rPr>
          <w:rFonts w:ascii="Times New Roman" w:cs="Times New Roman" w:eastAsia="Times New Roman" w:hAnsi="Times New Roman"/>
          <w:sz w:val="18"/>
          <w:szCs w:val="18"/>
          <w:color w:val="231F20"/>
        </w:rPr>
      </w:pPr>
    </w:p>
    <w:p>
      <w:pPr>
        <w:ind w:left="800" w:right="1060" w:hanging="283"/>
        <w:spacing w:after="0" w:line="282" w:lineRule="auto"/>
        <w:tabs>
          <w:tab w:leader="none" w:pos="80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Greater financial and human resources for product development, sales and marketing and patent and other intellectual property litigation.</w:t>
      </w:r>
    </w:p>
    <w:p>
      <w:pPr>
        <w:spacing w:after="0" w:line="162" w:lineRule="exact"/>
        <w:rPr>
          <w:sz w:val="20"/>
          <w:szCs w:val="20"/>
          <w:color w:val="auto"/>
        </w:rPr>
      </w:pPr>
    </w:p>
    <w:p>
      <w:pPr>
        <w:ind w:right="580" w:firstLine="419"/>
        <w:spacing w:after="0" w:line="282" w:lineRule="auto"/>
        <w:rPr>
          <w:sz w:val="20"/>
          <w:szCs w:val="20"/>
          <w:color w:val="auto"/>
        </w:rPr>
      </w:pPr>
      <w:r>
        <w:rPr>
          <w:rFonts w:ascii="Times New Roman" w:cs="Times New Roman" w:eastAsia="Times New Roman" w:hAnsi="Times New Roman"/>
          <w:sz w:val="18"/>
          <w:szCs w:val="18"/>
          <w:color w:val="231F20"/>
        </w:rPr>
        <w:t>We compete primarily on the basis that our medical devices are able to treat patients with prevalent eye diseases safely and effectively. Our continued success depends on our ability to:</w:t>
      </w:r>
    </w:p>
    <w:p>
      <w:pPr>
        <w:spacing w:after="0" w:line="162" w:lineRule="exact"/>
        <w:rPr>
          <w:sz w:val="20"/>
          <w:szCs w:val="20"/>
          <w:color w:val="auto"/>
        </w:rPr>
      </w:pPr>
    </w:p>
    <w:p>
      <w:pPr>
        <w:ind w:left="820" w:hanging="303"/>
        <w:spacing w:after="0"/>
        <w:tabs>
          <w:tab w:leader="none" w:pos="8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 innovative, proprietary technology and products that can cost-effectively address significant clinical needs;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and maintain regulatory clearances or approvals for the use of our products;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and maintain favorable reimbursement decisions relating to the use of our products;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Demonstrate clinical safety and effectiveness in our sponsored and third-party trials and studies;</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 and retain skilled research and development and sales personnel; and</w:t>
      </w:r>
    </w:p>
    <w:p>
      <w:pPr>
        <w:spacing w:after="0" w:line="117" w:lineRule="exact"/>
        <w:rPr>
          <w:rFonts w:ascii="Times New Roman" w:cs="Times New Roman" w:eastAsia="Times New Roman" w:hAnsi="Times New Roman"/>
          <w:sz w:val="18"/>
          <w:szCs w:val="18"/>
          <w:color w:val="231F20"/>
        </w:rPr>
      </w:pPr>
    </w:p>
    <w:p>
      <w:pPr>
        <w:ind w:left="820" w:hanging="303"/>
        <w:spacing w:after="0"/>
        <w:tabs>
          <w:tab w:leader="none" w:pos="8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market and sell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Manufacturing</w:t>
      </w:r>
    </w:p>
    <w:p>
      <w:pPr>
        <w:spacing w:after="0" w:line="229" w:lineRule="exact"/>
        <w:rPr>
          <w:sz w:val="20"/>
          <w:szCs w:val="20"/>
          <w:color w:val="auto"/>
        </w:rPr>
      </w:pPr>
    </w:p>
    <w:p>
      <w:pPr>
        <w:ind w:right="340" w:firstLine="419"/>
        <w:spacing w:after="0" w:line="282" w:lineRule="auto"/>
        <w:rPr>
          <w:sz w:val="20"/>
          <w:szCs w:val="20"/>
          <w:color w:val="auto"/>
        </w:rPr>
      </w:pPr>
      <w:r>
        <w:rPr>
          <w:rFonts w:ascii="Times New Roman" w:cs="Times New Roman" w:eastAsia="Times New Roman" w:hAnsi="Times New Roman"/>
          <w:sz w:val="18"/>
          <w:szCs w:val="18"/>
          <w:color w:val="231F20"/>
        </w:rPr>
        <w:t>We do not currently operate any manufacturing facilities and instead contract with third parties for our production requirements, including key components used in our products.</w:t>
      </w:r>
    </w:p>
    <w:p>
      <w:pPr>
        <w:spacing w:after="0" w:line="162"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231F20"/>
        </w:rPr>
        <w:t>On January 14, 2021, we entered into a supply agreement with Peter’s Technology (Suzhou) CO LTD. ("PTCS"), a Chinese subsidiary of Peter’s Co., Ltd., a Taiwan-based contract manufacturer (the "Peter's Supply Agreement"). In February 2021, PTCS began to produce commercially saleable OMNI units for us at its Suzhou City, China production facility. In May 2021, we entered into a separate supply agreement with a U.S.-based manufacturer with multiple manufacturing sites for the production in the United States of our OMNI Surgical System. Our supply agreements with these manufacturers contain customary terms and conditions. Pursuant to the Peter’s Supply Agreement, PTCS purchases components from our approved suppliers for assembly, and we make purchases from PTCS on a purchase order basis. The Peter’s Supply Agreement expires January 14, 2025, and the agreement provides for automatic renewals of additional one-year periods if neither party provides notification that they intend to terminate the agreement within 90 days of the end of the then-current term. We also have the right to terminate the agreement without cause by providing 180 days’ advance written notice, or with 30 days’ written notice with any material agreement default by the manufacturer. We subsequently amended the Peter’s Supply Agreement in January and November 2022 to, among other things, contract with PTCS to manufacture our SmartLids and SION surgical instruments.</w:t>
      </w:r>
    </w:p>
    <w:p>
      <w:pPr>
        <w:spacing w:after="0" w:line="192" w:lineRule="exact"/>
        <w:rPr>
          <w:sz w:val="20"/>
          <w:szCs w:val="20"/>
          <w:color w:val="auto"/>
        </w:rPr>
      </w:pPr>
    </w:p>
    <w:p>
      <w:pPr>
        <w:ind w:right="180" w:firstLine="419"/>
        <w:spacing w:after="0" w:line="266" w:lineRule="auto"/>
        <w:rPr>
          <w:sz w:val="20"/>
          <w:szCs w:val="20"/>
          <w:color w:val="auto"/>
        </w:rPr>
      </w:pPr>
      <w:r>
        <w:rPr>
          <w:rFonts w:ascii="Times New Roman" w:cs="Times New Roman" w:eastAsia="Times New Roman" w:hAnsi="Times New Roman"/>
          <w:sz w:val="18"/>
          <w:szCs w:val="18"/>
          <w:color w:val="231F20"/>
        </w:rPr>
        <w:t>For the production of our TearCare System components, we currently have supply arrangements with several medical device manufacturers. In addition to our agreement with PTCS for the production of SmartLids, we partner with various other suppliers for the production of the SmartHub and Clearance Assistant components of our TearCare System.</w:t>
      </w:r>
    </w:p>
    <w:p>
      <w:pPr>
        <w:spacing w:after="0" w:line="176" w:lineRule="exact"/>
        <w:rPr>
          <w:sz w:val="20"/>
          <w:szCs w:val="20"/>
          <w:color w:val="auto"/>
        </w:rPr>
      </w:pPr>
    </w:p>
    <w:p>
      <w:pPr>
        <w:ind w:right="280" w:firstLine="419"/>
        <w:spacing w:after="0" w:line="282" w:lineRule="auto"/>
        <w:rPr>
          <w:sz w:val="20"/>
          <w:szCs w:val="20"/>
          <w:color w:val="auto"/>
        </w:rPr>
      </w:pPr>
      <w:r>
        <w:rPr>
          <w:rFonts w:ascii="Times New Roman" w:cs="Times New Roman" w:eastAsia="Times New Roman" w:hAnsi="Times New Roman"/>
          <w:sz w:val="18"/>
          <w:szCs w:val="18"/>
          <w:color w:val="231F20"/>
        </w:rPr>
        <w:t>We believe that the manufacturing capacity provided by our approved third-party suppliers will be adequate to meet our current and anticipated manufacturing needs. We do not currently plan to manufacture our products or any related components ourselves.</w:t>
      </w:r>
    </w:p>
    <w:p>
      <w:pPr>
        <w:spacing w:after="0" w:line="162" w:lineRule="exact"/>
        <w:rPr>
          <w:sz w:val="20"/>
          <w:szCs w:val="20"/>
          <w:color w:val="auto"/>
        </w:rPr>
      </w:pPr>
    </w:p>
    <w:p>
      <w:pPr>
        <w:jc w:val="both"/>
        <w:ind w:firstLine="419"/>
        <w:spacing w:after="0" w:line="281" w:lineRule="auto"/>
        <w:rPr>
          <w:sz w:val="20"/>
          <w:szCs w:val="20"/>
          <w:color w:val="auto"/>
        </w:rPr>
      </w:pPr>
      <w:r>
        <w:rPr>
          <w:rFonts w:ascii="Times New Roman" w:cs="Times New Roman" w:eastAsia="Times New Roman" w:hAnsi="Times New Roman"/>
          <w:sz w:val="17"/>
          <w:szCs w:val="17"/>
          <w:color w:val="231F20"/>
        </w:rPr>
        <w:t>Manufacturing facilities that produce medical devices or their component parts intended for distribution world-wide are subject to regulation and periodic unannounced inspection or audits by the FDA and other domestic and international regulatory agencies or notified bodies. In the United States, any products we sell are required to be manufactured in compliance with the FDA’s Quality System Regulation ("QSR"), which covers the methods used in, and the facilities used for, the design, testing, control, manufacturing, labeling, quality assurance, packaging, storage and shipping of our products.</w:t>
      </w:r>
    </w:p>
    <w:p>
      <w:pPr>
        <w:spacing w:after="0" w:line="164" w:lineRule="exact"/>
        <w:rPr>
          <w:sz w:val="20"/>
          <w:szCs w:val="20"/>
          <w:color w:val="auto"/>
        </w:rPr>
      </w:pPr>
    </w:p>
    <w:p>
      <w:pPr>
        <w:ind w:right="440" w:firstLine="419"/>
        <w:spacing w:after="0" w:line="312" w:lineRule="auto"/>
        <w:rPr>
          <w:sz w:val="20"/>
          <w:szCs w:val="20"/>
          <w:color w:val="auto"/>
        </w:rPr>
      </w:pPr>
      <w:r>
        <w:rPr>
          <w:rFonts w:ascii="Times New Roman" w:cs="Times New Roman" w:eastAsia="Times New Roman" w:hAnsi="Times New Roman"/>
          <w:sz w:val="17"/>
          <w:szCs w:val="17"/>
          <w:color w:val="231F20"/>
        </w:rPr>
        <w:t>The distribution of our products is handled directly through a third-party logistics provider. Our finished goods are shipped from our contract manufacturers to a local gamma sterilization facility after which they are shipped to distribution facilities and, ultimately, to our customers.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93" w:right="459" w:bottom="1440" w:gutter="0" w:footer="0" w:header="0"/>
        </w:sectPr>
      </w:pPr>
    </w:p>
    <w:bookmarkStart w:id="17" w:name="page18"/>
    <w:bookmarkEnd w:id="17"/>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231F20"/>
        </w:rPr>
        <w:t>Intellectual Property</w:t>
      </w:r>
    </w:p>
    <w:p>
      <w:pPr>
        <w:spacing w:after="0" w:line="229"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Our commercial success depends in part on our ability to obtain and maintain proprietary protection for our current and future products and product candidates, novel discoveries, product development technologies and know-how; to operate without infringing on the proprietary rights of others; and to prevent others from infringing our proprietary rights. Our policy is to seek to protect our proprietary position by, among other methods, seeking to obtain or in-licensing U.S. and foreign patents and patent applications related to our proprietary technology that are important to the development and implementation of our business. We seek to obtain domestic and international patent protection, and endeavor to promptly file patent applications for new commercially valuable inventions. We file new patent applications as we conduct research and development, initiate new programs, and monitor the activities of others. We also rely on other approaches to protecting our proprietary position, such as trademarks, trade secrets, know-how, and/or continuing technological innovation to develop and maintain our proprietary position.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w:t>
      </w:r>
    </w:p>
    <w:p>
      <w:pPr>
        <w:spacing w:after="0" w:line="229"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231F20"/>
        </w:rPr>
        <w:t>Generally, issued patents are granted a term of 20 years from the earliest claimed non-provisional filing date. In certain instances, U.S. patent terms can be adjusted to recapture a portion of delay by the U.S. Patent &amp; Trademark Office ("USPTO"), in examining the patent application ("patent term adjustment") or extended to account for term effectively lost as a result of the FDA regulatory review period ("patent term extension"), or both. In some cases, the term of a U.S. patent may be shortened by terminal disclaimer, such that its term is reduced to end with that of an earlier-expiring patent.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Trade Secrets</w:t>
      </w:r>
    </w:p>
    <w:p>
      <w:pPr>
        <w:spacing w:after="0" w:line="229" w:lineRule="exact"/>
        <w:rPr>
          <w:sz w:val="20"/>
          <w:szCs w:val="20"/>
          <w:color w:val="auto"/>
        </w:rPr>
      </w:pPr>
    </w:p>
    <w:p>
      <w:pPr>
        <w:ind w:right="120" w:firstLine="419"/>
        <w:spacing w:after="0" w:line="254" w:lineRule="auto"/>
        <w:rPr>
          <w:sz w:val="20"/>
          <w:szCs w:val="20"/>
          <w:color w:val="auto"/>
        </w:rPr>
      </w:pPr>
      <w:r>
        <w:rPr>
          <w:rFonts w:ascii="Times New Roman" w:cs="Times New Roman" w:eastAsia="Times New Roman" w:hAnsi="Times New Roman"/>
          <w:sz w:val="18"/>
          <w:szCs w:val="18"/>
          <w:color w:val="231F20"/>
        </w:rPr>
        <w:t>In addition to patents, we rely on trade secrets and know-how to develop and maintain our competitive position. We typically rely on trade secrets to protect aspects of our business that are not amenable to, or that we do not consider appropriate for, patent protection. It is our policy to protect trade secrets and/or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entity’s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Patents</w:t>
      </w:r>
    </w:p>
    <w:p>
      <w:pPr>
        <w:spacing w:after="0" w:line="229"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As of December 31, 2023, we owned 39 issued U.S. patents, 62 issued patents outside the U.S. (which includes six issued European patents and their national validations), 28 pending U.S. non-provisional patent applications, 26 pending foreign patent applications and three pending Patent Cooperation Treaty patent applications. Our issued patents include claims directed to devices and methods for canaloplasty and/or trabeculotomy, ocular implants and related methods, methods for treating dry eye disease using pharmaceutical compositions, the TearCare apparatus and methods of using the TearCare apparatus, components of the TearCare apparatus (including the SmartHub and SmartLids) and methods of their use, the TearCare apparatus in combination with an eyelid compression instrument and methods of their use, and methods of using the TearCare apparatus with patients wearing contact lenses.</w:t>
      </w:r>
    </w:p>
    <w:p>
      <w:pPr>
        <w:spacing w:after="0" w:line="189"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231F20"/>
        </w:rPr>
        <w:t>Subject to payment of required maintenance fees, annuities, and other charges, our issued U.S. patents have expiration dates between 2027 and 2041, with seven of our issued U.S. patents having expiration dates before 2030, 28 having expiration dates between 2031 and 2035, one having an expiration date in 2037, and the remaining three expiring in 2041, in each case exclusive of possible patent term extensions. Of our 28 pending U.S. non-provisional patent applications, one was filed in 2018, two were filed in 2019, three were filed in 2020, five were filed in 2021, six were filed in 2022, and eleven were filed in 2023. Our pending U.S. non-provisional patent applications, if issued, have expected expiration dates between 2026 and 2043, exclusive of any possible patent term adjustments or patent term extensions.</w:t>
      </w:r>
    </w:p>
    <w:p>
      <w:pPr>
        <w:spacing w:after="0" w:line="187" w:lineRule="exact"/>
        <w:rPr>
          <w:sz w:val="20"/>
          <w:szCs w:val="20"/>
          <w:color w:val="auto"/>
        </w:rPr>
      </w:pPr>
    </w:p>
    <w:p>
      <w:pPr>
        <w:jc w:val="both"/>
        <w:ind w:right="300" w:firstLine="419"/>
        <w:spacing w:after="0" w:line="266" w:lineRule="auto"/>
        <w:rPr>
          <w:sz w:val="20"/>
          <w:szCs w:val="20"/>
          <w:color w:val="auto"/>
        </w:rPr>
      </w:pPr>
      <w:r>
        <w:rPr>
          <w:rFonts w:ascii="Times New Roman" w:cs="Times New Roman" w:eastAsia="Times New Roman" w:hAnsi="Times New Roman"/>
          <w:sz w:val="18"/>
          <w:szCs w:val="18"/>
          <w:color w:val="231F20"/>
        </w:rPr>
        <w:t>The foreign jurisdictions where we own issued patents include: Australia, Belgium, Brazil, China, France, Germany, Hong Kong, Ireland, Italy, Japan, Norway, Spain, Sweden, Switzerland, The Netherlands and the United Kingdom. Subject to payment of required annuities and other charges, these foreign patents have expiration dates between 2027 and 2035. We</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89" w:right="419" w:bottom="1440" w:gutter="0" w:footer="0" w:header="0"/>
        </w:sectPr>
      </w:pPr>
    </w:p>
    <w:bookmarkStart w:id="19" w:name="page20"/>
    <w:bookmarkEnd w:id="19"/>
    <w:p>
      <w:pPr>
        <w:ind w:right="160"/>
        <w:spacing w:after="0" w:line="282" w:lineRule="auto"/>
        <w:rPr>
          <w:sz w:val="20"/>
          <w:szCs w:val="20"/>
          <w:color w:val="auto"/>
        </w:rPr>
      </w:pPr>
      <w:r>
        <w:rPr>
          <w:rFonts w:ascii="Times New Roman" w:cs="Times New Roman" w:eastAsia="Times New Roman" w:hAnsi="Times New Roman"/>
          <w:sz w:val="18"/>
          <w:szCs w:val="18"/>
          <w:color w:val="231F20"/>
        </w:rPr>
        <w:t>have pending patent applications in various countries including Australia, Brazil, Canada, China, Europe, Hong Kong, and Japan which, if issued, have expected expiration dates between 2032 and 2042.</w:t>
      </w:r>
    </w:p>
    <w:p>
      <w:pPr>
        <w:spacing w:after="0" w:line="162" w:lineRule="exact"/>
        <w:rPr>
          <w:sz w:val="20"/>
          <w:szCs w:val="20"/>
          <w:color w:val="auto"/>
        </w:rPr>
      </w:pPr>
    </w:p>
    <w:p>
      <w:pPr>
        <w:ind w:right="140" w:firstLine="419"/>
        <w:spacing w:after="0" w:line="255" w:lineRule="auto"/>
        <w:rPr>
          <w:sz w:val="20"/>
          <w:szCs w:val="20"/>
          <w:color w:val="auto"/>
        </w:rPr>
      </w:pPr>
      <w:r>
        <w:rPr>
          <w:rFonts w:ascii="Times New Roman" w:cs="Times New Roman" w:eastAsia="Times New Roman" w:hAnsi="Times New Roman"/>
          <w:sz w:val="18"/>
          <w:szCs w:val="18"/>
          <w:color w:val="231F20"/>
        </w:rPr>
        <w:t>As of December 31, 2023, we owned nine U.S. trademark registrations, two EU trademark registrations; two German trademark registration;, two Swiss trademark registrations; two UK trademark registrations; one Brazilian trademark registration; six pending U.S. trademark applications; six pending Brazilian trademark applications; one International Registration designating Australia, the EU, Japan, Korea, Mexico, Singapore, and the UK; one International Registration designating Australia, Canada, the EU, Japan, Korea, Mexico, Singapore, and the UK; one International Registration designating Australia, Canada, the EU, Japan, and Mexico; one International Registration designating Australia, Canada, the EU, Japan, Korea, Singapore, and the UK; one International Registration designating Japan; and one International Registration designating Australia, Canada, the EU, Japan, and Mexico.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 Regulation</w:t>
      </w:r>
    </w:p>
    <w:p>
      <w:pPr>
        <w:spacing w:after="0" w:line="229"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231F20"/>
        </w:rPr>
        <w:t>Our products and our operations are subject to extensive regulation by the FDA and other federal, state, and local authorities in the United States, as well as comparable authorities in foreign jurisdictions. Our products are subject to regulation as medical devices in the United States under the Federal Food, Drug, and Cosmetic Act ("FDCA") and its implementing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United States Regulation</w:t>
      </w:r>
    </w:p>
    <w:p>
      <w:pPr>
        <w:spacing w:after="0" w:line="229"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The FDA regulates, among other things, the development, design, non-clinical and clinical testing, manufacturing, safety, effectiveness, labeling, packaging, storage, installation, servicing, recordkeeping, premarket clearance or approval, adverse event reporting, advertising, promotion, marketing and distribution, and import and export and post-marketing surveillance of medical devices in the United States to ensure that medical devices distributed domestically are safe and effective for their intended uses and otherwise meet the requirements of the FDCA.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FDA Premarket Clearance and Approval Requirements</w:t>
      </w:r>
    </w:p>
    <w:p>
      <w:pPr>
        <w:spacing w:after="0" w:line="229" w:lineRule="exact"/>
        <w:rPr>
          <w:sz w:val="20"/>
          <w:szCs w:val="20"/>
          <w:color w:val="auto"/>
        </w:rPr>
      </w:pPr>
    </w:p>
    <w:p>
      <w:pPr>
        <w:jc w:val="both"/>
        <w:ind w:right="40" w:firstLine="419"/>
        <w:spacing w:after="0" w:line="282" w:lineRule="auto"/>
        <w:rPr>
          <w:sz w:val="20"/>
          <w:szCs w:val="20"/>
          <w:color w:val="auto"/>
        </w:rPr>
      </w:pPr>
      <w:r>
        <w:rPr>
          <w:rFonts w:ascii="Times New Roman" w:cs="Times New Roman" w:eastAsia="Times New Roman" w:hAnsi="Times New Roman"/>
          <w:sz w:val="18"/>
          <w:szCs w:val="18"/>
          <w:color w:val="231F20"/>
        </w:rPr>
        <w:t>Unless an exemption applies, each new or significantly modified medical device commercially distributed in the United States requires either FDA clearance of a 510(k) premarket notification, or approval of a premarket approval ("PMA"), application.</w:t>
      </w:r>
    </w:p>
    <w:p>
      <w:pPr>
        <w:spacing w:after="0" w:line="162" w:lineRule="exact"/>
        <w:rPr>
          <w:sz w:val="20"/>
          <w:szCs w:val="20"/>
          <w:color w:val="auto"/>
        </w:rPr>
      </w:pPr>
    </w:p>
    <w:p>
      <w:pPr>
        <w:ind w:right="700" w:firstLine="419"/>
        <w:spacing w:after="0" w:line="282" w:lineRule="auto"/>
        <w:rPr>
          <w:sz w:val="20"/>
          <w:szCs w:val="20"/>
          <w:color w:val="auto"/>
        </w:rPr>
      </w:pPr>
      <w:r>
        <w:rPr>
          <w:rFonts w:ascii="Times New Roman" w:cs="Times New Roman" w:eastAsia="Times New Roman" w:hAnsi="Times New Roman"/>
          <w:sz w:val="18"/>
          <w:szCs w:val="18"/>
          <w:color w:val="231F20"/>
        </w:rPr>
        <w:t>Under the FDCA, medical devices are classified into one of three classes—Class I, Class II or Class III— depending on the degree of risk associated with each medical device and the extent of manufacturer and regulatory control needed to ensure its safety and effectiveness.</w:t>
      </w:r>
    </w:p>
    <w:p>
      <w:pPr>
        <w:spacing w:after="0" w:line="162" w:lineRule="exact"/>
        <w:rPr>
          <w:sz w:val="20"/>
          <w:szCs w:val="20"/>
          <w:color w:val="auto"/>
        </w:rPr>
      </w:pPr>
    </w:p>
    <w:p>
      <w:pPr>
        <w:jc w:val="both"/>
        <w:ind w:right="40" w:firstLine="419"/>
        <w:spacing w:after="0" w:line="266" w:lineRule="auto"/>
        <w:rPr>
          <w:sz w:val="20"/>
          <w:szCs w:val="20"/>
          <w:color w:val="auto"/>
        </w:rPr>
      </w:pPr>
      <w:r>
        <w:rPr>
          <w:rFonts w:ascii="Times New Roman" w:cs="Times New Roman" w:eastAsia="Times New Roman" w:hAnsi="Times New Roman"/>
          <w:sz w:val="18"/>
          <w:szCs w:val="18"/>
          <w:color w:val="231F20"/>
        </w:rPr>
        <w:t>Devices deemed to pose a lower risk are placed in either Class I or Class II, and devices deemed by the FDA to pose the greatest risk, such as life-sustaining, life-supporting or implantable devices, or a device deemed to be not substantially equivalent to a previously cleared 510(k) device, are placed in Class III.</w:t>
      </w:r>
    </w:p>
    <w:p>
      <w:pPr>
        <w:spacing w:after="0" w:line="176" w:lineRule="exact"/>
        <w:rPr>
          <w:sz w:val="20"/>
          <w:szCs w:val="20"/>
          <w:color w:val="auto"/>
        </w:rPr>
      </w:pPr>
    </w:p>
    <w:p>
      <w:pPr>
        <w:ind w:right="140" w:firstLine="419"/>
        <w:spacing w:after="0" w:line="282" w:lineRule="auto"/>
        <w:rPr>
          <w:sz w:val="20"/>
          <w:szCs w:val="20"/>
          <w:color w:val="auto"/>
        </w:rPr>
      </w:pPr>
      <w:r>
        <w:rPr>
          <w:rFonts w:ascii="Times New Roman" w:cs="Times New Roman" w:eastAsia="Times New Roman" w:hAnsi="Times New Roman"/>
          <w:sz w:val="18"/>
          <w:szCs w:val="18"/>
          <w:color w:val="231F20"/>
        </w:rPr>
        <w:t>Our currently marketed OMNI and TearCare products are regulated as Class II devices subject to 510(k) clearance. Our SION surgical instrument is registered with the FDA as a Class I 510(k) exempt device.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Clinical Trials</w:t>
      </w:r>
    </w:p>
    <w:p>
      <w:pPr>
        <w:spacing w:after="0" w:line="229" w:lineRule="exact"/>
        <w:rPr>
          <w:sz w:val="20"/>
          <w:szCs w:val="20"/>
          <w:color w:val="auto"/>
        </w:rPr>
      </w:pPr>
    </w:p>
    <w:p>
      <w:pPr>
        <w:ind w:firstLine="419"/>
        <w:spacing w:after="0" w:line="274" w:lineRule="auto"/>
        <w:rPr>
          <w:sz w:val="20"/>
          <w:szCs w:val="20"/>
          <w:color w:val="auto"/>
        </w:rPr>
      </w:pPr>
      <w:r>
        <w:rPr>
          <w:rFonts w:ascii="Times New Roman" w:cs="Times New Roman" w:eastAsia="Times New Roman" w:hAnsi="Times New Roman"/>
          <w:sz w:val="17"/>
          <w:szCs w:val="17"/>
          <w:color w:val="231F20"/>
        </w:rPr>
        <w:t>Clinical trials are almost always required to support a PMA and are sometimes required to support a 510(k) submission. In the United States, absent certain limited exceptions, human clinical trials intended to support medical device clearance or approval or to determine safety and effectiveness of a device for an investigational use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 approved in advance by the FDA for a specified number of subjects.</w:t>
      </w: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20" w:name="page21"/>
    <w:bookmarkEnd w:id="20"/>
    <w:p>
      <w:pPr>
        <w:ind w:right="360" w:firstLine="419"/>
        <w:spacing w:after="0" w:line="312" w:lineRule="auto"/>
        <w:rPr>
          <w:sz w:val="20"/>
          <w:szCs w:val="20"/>
          <w:color w:val="auto"/>
        </w:rPr>
      </w:pPr>
      <w:r>
        <w:rPr>
          <w:rFonts w:ascii="Times New Roman" w:cs="Times New Roman" w:eastAsia="Times New Roman" w:hAnsi="Times New Roman"/>
          <w:sz w:val="17"/>
          <w:szCs w:val="17"/>
          <w:color w:val="231F20"/>
        </w:rPr>
        <w:t>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w:t>
      </w:r>
    </w:p>
    <w:p>
      <w:pPr>
        <w:spacing w:after="0" w:line="140"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231F20"/>
        </w:rPr>
        <w:t xml:space="preserve">Regardless of the degree of risk presented by the medical device, clinical studies must be approved by, and conducted under the oversight of an institutional review board ("IRB") for each clinical site.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w:t>
      </w:r>
      <w:r>
        <w:rPr>
          <w:rFonts w:ascii="Times New Roman" w:cs="Times New Roman" w:eastAsia="Times New Roman" w:hAnsi="Times New Roman"/>
          <w:sz w:val="18"/>
          <w:szCs w:val="18"/>
          <w:color w:val="000000"/>
        </w:rPr>
        <w:t>Clinical trials are subject to extensive monitoring, recordkeeping and reporting requirements.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Clinical trials must be conducted under the oversight of an IRB, and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high-risk devices, by the ministry of health in the applicable country.</w:t>
      </w:r>
    </w:p>
    <w:p>
      <w:pPr>
        <w:spacing w:after="0" w:line="190"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and satisfy state and federal privacy and human subject protection regulations. Additionally, after a trial begins, we, the FDA or the IRB could suspend or terminate a clinical trial at any time for various reasons, including a belief that the potential benefits of the study are outweighed by cost, safety, or other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510(k) Clearance Process</w:t>
      </w:r>
    </w:p>
    <w:p>
      <w:pPr>
        <w:spacing w:after="0" w:line="229"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231F20"/>
        </w:rPr>
        <w:t>Under the 510(k) process, the manufacturer must submit to the FDA a premarket notification submission demonstrating that the proposed device is “substantially equivalent,” as defined in the FDCA, to a legally marketed predicate device.</w:t>
      </w:r>
    </w:p>
    <w:p>
      <w:pPr>
        <w:spacing w:after="0" w:line="162"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231F20"/>
        </w:rPr>
        <w:t>A predicate device is a legally marketed device that is not subject to premarket approval and for which a PMA is not required, a device that has been reclassified from Class III to Class II or I, or a device that was found substantially equivalent through the 510(k) process. A device is considered to be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different questions of safety or effectiveness than the predicate device.</w:t>
      </w:r>
    </w:p>
    <w:p>
      <w:pPr>
        <w:spacing w:after="0" w:line="183"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The FDA has implemented a mandatory electronic submission template, called eSTAR, for all 510(k) submissions starting October 1, 2023. This new template helps ensure that 510(k)s are complete by providing guided prompts to facilitate the collection and assembly of the necessary elements of a complete submission. Therefore, acceptance reviews will no longer be required however a technical screening process will be conducted. The Medical Device User Fee Amendments sets a performance goal of 90 days for FDA review of a 510(k) submission, but the review time can be delayed if FDA raises questions or requests additional information during the review process. As a practical matter, clearance often takes longer than 90 days.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192" w:lineRule="exact"/>
        <w:rPr>
          <w:sz w:val="20"/>
          <w:szCs w:val="20"/>
          <w:color w:val="auto"/>
        </w:rPr>
      </w:pPr>
    </w:p>
    <w:p>
      <w:pPr>
        <w:ind w:right="240" w:firstLine="419"/>
        <w:spacing w:after="0" w:line="282" w:lineRule="auto"/>
        <w:rPr>
          <w:sz w:val="20"/>
          <w:szCs w:val="20"/>
          <w:color w:val="auto"/>
        </w:rPr>
      </w:pPr>
      <w:r>
        <w:rPr>
          <w:rFonts w:ascii="Times New Roman" w:cs="Times New Roman" w:eastAsia="Times New Roman" w:hAnsi="Times New Roman"/>
          <w:sz w:val="18"/>
          <w:szCs w:val="18"/>
          <w:color w:val="231F20"/>
        </w:rPr>
        <w:t>If the FDA determines that the device is substantially equivalent to a predicate device, it will grant 510(k) clearance to commercially market the device. If the FDA determines that the device is “not substantially equivalent” to a previously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093" w:right="439" w:bottom="1440" w:gutter="0" w:footer="0" w:header="0"/>
        </w:sectPr>
      </w:pPr>
    </w:p>
    <w:bookmarkStart w:id="21" w:name="page22"/>
    <w:bookmarkEnd w:id="21"/>
    <w:p>
      <w:pPr>
        <w:ind w:right="60"/>
        <w:spacing w:after="0" w:line="266" w:lineRule="auto"/>
        <w:rPr>
          <w:sz w:val="20"/>
          <w:szCs w:val="20"/>
          <w:color w:val="auto"/>
        </w:rPr>
      </w:pPr>
      <w:r>
        <w:rPr>
          <w:rFonts w:ascii="Times New Roman" w:cs="Times New Roman" w:eastAsia="Times New Roman" w:hAnsi="Times New Roman"/>
          <w:sz w:val="18"/>
          <w:szCs w:val="18"/>
          <w:color w:val="231F20"/>
        </w:rPr>
        <w:t>cleared device, the device is automatically designated as a Class III device. The device sponsor must then fulfill more rigorous requirements of the PMA approval process, or can request a risk-based classification determination for the device in accordance with the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process, which is a route to market for certain novel medical devices that are low to moderate risk and are not substantially equivalent to a predicate device.</w:t>
      </w:r>
    </w:p>
    <w:p>
      <w:pPr>
        <w:spacing w:after="0" w:line="176"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xml:space="preserve"> reclassification. The FDA requires each manufacturer to determine whether the proposed change requires submission of a 510(k),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xml:space="preserve"> request or a PMA in the first instance, but the FDA may review this determination to evaluate the regulatory status of the modified product at any time and may require the manufacturer to cease marketing and/or request the recall of the modified device until 510(k) marketing clearance or PMA approval is obtained or a </w:t>
      </w:r>
      <w:r>
        <w:rPr>
          <w:rFonts w:ascii="Times New Roman" w:cs="Times New Roman" w:eastAsia="Times New Roman" w:hAnsi="Times New Roman"/>
          <w:sz w:val="18"/>
          <w:szCs w:val="18"/>
          <w:i w:val="1"/>
          <w:iCs w:val="1"/>
          <w:color w:val="231F20"/>
        </w:rPr>
        <w:t>de novo</w:t>
      </w:r>
      <w:r>
        <w:rPr>
          <w:rFonts w:ascii="Times New Roman" w:cs="Times New Roman" w:eastAsia="Times New Roman" w:hAnsi="Times New Roman"/>
          <w:sz w:val="18"/>
          <w:szCs w:val="18"/>
          <w:color w:val="231F20"/>
        </w:rPr>
        <w:t xml:space="preserve"> request is granted. Also, in these circumstances, the manufacturer may be subject to significant regulatory fines or penalties.</w:t>
      </w:r>
    </w:p>
    <w:p>
      <w:pPr>
        <w:spacing w:after="0" w:line="187" w:lineRule="exact"/>
        <w:rPr>
          <w:sz w:val="20"/>
          <w:szCs w:val="20"/>
          <w:color w:val="auto"/>
        </w:rPr>
      </w:pPr>
    </w:p>
    <w:p>
      <w:pPr>
        <w:ind w:firstLine="419"/>
        <w:spacing w:after="0" w:line="312" w:lineRule="auto"/>
        <w:rPr>
          <w:sz w:val="20"/>
          <w:szCs w:val="20"/>
          <w:color w:val="auto"/>
        </w:rPr>
      </w:pPr>
      <w:r>
        <w:rPr>
          <w:rFonts w:ascii="Times New Roman" w:cs="Times New Roman" w:eastAsia="Times New Roman" w:hAnsi="Times New Roman"/>
          <w:sz w:val="17"/>
          <w:szCs w:val="17"/>
          <w:color w:val="231F20"/>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Ongoing Regulation by the FDA</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Even after the FDA permits a device to be marketed, numerous and pervasive regulatory requirements continue to apply. These include:</w:t>
      </w:r>
    </w:p>
    <w:p>
      <w:pPr>
        <w:spacing w:after="0" w:line="225" w:lineRule="exact"/>
        <w:rPr>
          <w:sz w:val="20"/>
          <w:szCs w:val="20"/>
          <w:color w:val="auto"/>
        </w:rPr>
      </w:pPr>
    </w:p>
    <w:p>
      <w:pPr>
        <w:ind w:left="800" w:hanging="283"/>
        <w:spacing w:after="0"/>
        <w:tabs>
          <w:tab w:leader="none" w:pos="8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Establishment of registration and device listing with the FDA;</w:t>
      </w:r>
    </w:p>
    <w:p>
      <w:pPr>
        <w:spacing w:after="0" w:line="117" w:lineRule="exact"/>
        <w:rPr>
          <w:rFonts w:ascii="Times New Roman" w:cs="Times New Roman" w:eastAsia="Times New Roman" w:hAnsi="Times New Roman"/>
          <w:sz w:val="18"/>
          <w:szCs w:val="18"/>
          <w:color w:val="231F20"/>
        </w:rPr>
      </w:pPr>
    </w:p>
    <w:p>
      <w:pPr>
        <w:jc w:val="both"/>
        <w:ind w:left="800" w:right="940" w:hanging="283"/>
        <w:spacing w:after="0" w:line="266" w:lineRule="auto"/>
        <w:tabs>
          <w:tab w:leader="none" w:pos="8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QSR requirements, which require manufacturers, including third-party manufacturers, to follow stringent design, testing, control, supplier/contractor selection, compliant handling, documentation and other quality assurance procedures during all aspects of the design and manufacturing process;</w:t>
      </w:r>
    </w:p>
    <w:p>
      <w:pPr>
        <w:spacing w:after="0" w:line="67" w:lineRule="exact"/>
        <w:rPr>
          <w:rFonts w:ascii="Times New Roman" w:cs="Times New Roman" w:eastAsia="Times New Roman" w:hAnsi="Times New Roman"/>
          <w:sz w:val="18"/>
          <w:szCs w:val="18"/>
          <w:color w:val="231F20"/>
        </w:rPr>
      </w:pPr>
    </w:p>
    <w:p>
      <w:pPr>
        <w:jc w:val="both"/>
        <w:ind w:left="800" w:right="880" w:hanging="283"/>
        <w:spacing w:after="0" w:line="266" w:lineRule="auto"/>
        <w:tabs>
          <w:tab w:leader="none" w:pos="8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Labeling regulations, advertising and promotion requirements, restrictions on sale, distribution or sale of a device, each including the FDA prohibition against the promotion of products for any uses other than those authorized by the FDA, which are commonly known as “off-label” uses;</w:t>
      </w:r>
    </w:p>
    <w:p>
      <w:pPr>
        <w:spacing w:after="0" w:line="67" w:lineRule="exact"/>
        <w:rPr>
          <w:rFonts w:ascii="Times New Roman" w:cs="Times New Roman" w:eastAsia="Times New Roman" w:hAnsi="Times New Roman"/>
          <w:sz w:val="18"/>
          <w:szCs w:val="18"/>
          <w:color w:val="231F20"/>
        </w:rPr>
      </w:pPr>
    </w:p>
    <w:p>
      <w:pPr>
        <w:ind w:left="800" w:right="860" w:hanging="283"/>
        <w:spacing w:after="0" w:line="266" w:lineRule="auto"/>
        <w:tabs>
          <w:tab w:leader="none" w:pos="8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67" w:lineRule="exact"/>
        <w:rPr>
          <w:rFonts w:ascii="Times New Roman" w:cs="Times New Roman" w:eastAsia="Times New Roman" w:hAnsi="Times New Roman"/>
          <w:sz w:val="18"/>
          <w:szCs w:val="18"/>
          <w:color w:val="231F20"/>
        </w:rPr>
      </w:pPr>
    </w:p>
    <w:p>
      <w:pPr>
        <w:ind w:left="800" w:right="1120" w:hanging="283"/>
        <w:spacing w:after="0" w:line="282" w:lineRule="auto"/>
        <w:tabs>
          <w:tab w:leader="none" w:pos="8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approval of product modifications of approved devices that affect safety or effectiveness or that would constitute a major change in intended use of an approved device;</w:t>
      </w:r>
    </w:p>
    <w:p>
      <w:pPr>
        <w:spacing w:after="0" w:line="53" w:lineRule="exact"/>
        <w:rPr>
          <w:rFonts w:ascii="Times New Roman" w:cs="Times New Roman" w:eastAsia="Times New Roman" w:hAnsi="Times New Roman"/>
          <w:sz w:val="18"/>
          <w:szCs w:val="18"/>
          <w:color w:val="231F20"/>
        </w:rPr>
      </w:pPr>
    </w:p>
    <w:p>
      <w:pPr>
        <w:ind w:left="800" w:right="840" w:hanging="283"/>
        <w:spacing w:after="0" w:line="266" w:lineRule="auto"/>
        <w:tabs>
          <w:tab w:leader="none" w:pos="8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Medical device correction and removal reporting regulations, which require that manufacturers report to the FDA field corrections or removals if undertaken to reduce a risk to health posed by the device or to remedy a violation of the FDCA that may present a risk to health;</w:t>
      </w:r>
    </w:p>
    <w:p>
      <w:pPr>
        <w:spacing w:after="0" w:line="67" w:lineRule="exact"/>
        <w:rPr>
          <w:rFonts w:ascii="Times New Roman" w:cs="Times New Roman" w:eastAsia="Times New Roman" w:hAnsi="Times New Roman"/>
          <w:sz w:val="18"/>
          <w:szCs w:val="18"/>
          <w:color w:val="231F20"/>
        </w:rPr>
      </w:pPr>
    </w:p>
    <w:p>
      <w:pPr>
        <w:ind w:left="800" w:right="960" w:hanging="283"/>
        <w:spacing w:after="0" w:line="282" w:lineRule="auto"/>
        <w:tabs>
          <w:tab w:leader="none" w:pos="8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Recall requirements, including a mandatory recall if there is a reasonable probability that the device would cause serious adverse health consequences or death;</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order of repair, replacement, or refund;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Device tracking requirements; and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Post-market study and surveillance requirements.</w:t>
      </w:r>
    </w:p>
    <w:p>
      <w:pPr>
        <w:spacing w:after="0" w:line="225" w:lineRule="exact"/>
        <w:rPr>
          <w:sz w:val="20"/>
          <w:szCs w:val="20"/>
          <w:color w:val="auto"/>
        </w:rPr>
      </w:pPr>
    </w:p>
    <w:p>
      <w:pPr>
        <w:ind w:right="500" w:firstLine="419"/>
        <w:spacing w:after="0" w:line="312" w:lineRule="auto"/>
        <w:rPr>
          <w:sz w:val="20"/>
          <w:szCs w:val="20"/>
          <w:color w:val="auto"/>
        </w:rPr>
      </w:pPr>
      <w:r>
        <w:rPr>
          <w:rFonts w:ascii="Times New Roman" w:cs="Times New Roman" w:eastAsia="Times New Roman" w:hAnsi="Times New Roman"/>
          <w:sz w:val="17"/>
          <w:szCs w:val="17"/>
          <w:color w:val="231F20"/>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spacing w:after="0" w:line="140" w:lineRule="exact"/>
        <w:rPr>
          <w:sz w:val="20"/>
          <w:szCs w:val="20"/>
          <w:color w:val="auto"/>
        </w:rPr>
      </w:pPr>
    </w:p>
    <w:p>
      <w:pPr>
        <w:ind w:left="5420" w:right="4040" w:hanging="4903"/>
        <w:spacing w:after="0" w:line="657" w:lineRule="auto"/>
        <w:tabs>
          <w:tab w:leader="none" w:pos="81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Warning letters, untitled letters, fines, injunctions, consent decrees and civil penalties; </w:t>
      </w:r>
      <w:r>
        <w:rPr>
          <w:rFonts w:ascii="Times New Roman" w:cs="Times New Roman" w:eastAsia="Times New Roman" w:hAnsi="Times New Roman"/>
          <w:sz w:val="18"/>
          <w:szCs w:val="18"/>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239395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22" w:name="page23"/>
    <w:bookmarkEnd w:id="22"/>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Recalls, withdrawals, or administrative detention or seizure of our products;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restrictions or partial suspension or total shutdown of production;</w:t>
      </w:r>
    </w:p>
    <w:p>
      <w:pPr>
        <w:spacing w:after="0" w:line="117" w:lineRule="exact"/>
        <w:rPr>
          <w:rFonts w:ascii="Times New Roman" w:cs="Times New Roman" w:eastAsia="Times New Roman" w:hAnsi="Times New Roman"/>
          <w:sz w:val="18"/>
          <w:szCs w:val="18"/>
          <w:color w:val="231F20"/>
        </w:rPr>
      </w:pPr>
    </w:p>
    <w:p>
      <w:pPr>
        <w:ind w:left="800" w:right="880" w:hanging="283"/>
        <w:spacing w:after="0" w:line="282" w:lineRule="auto"/>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Refusing or delays in processing, clearing, or approving submissions or applications for new products or modifications to existing products;</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510(k) clearances or PMA approvals that have already been granted;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refusal to issue certification to foreign governments needed to export our products for sale in other countries; or</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Criminal prosecution.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International Regulation of Our Products</w:t>
      </w:r>
    </w:p>
    <w:p>
      <w:pPr>
        <w:spacing w:after="0" w:line="229" w:lineRule="exact"/>
        <w:rPr>
          <w:sz w:val="20"/>
          <w:szCs w:val="20"/>
          <w:color w:val="auto"/>
        </w:rPr>
      </w:pPr>
    </w:p>
    <w:p>
      <w:pPr>
        <w:ind w:right="40" w:firstLine="419"/>
        <w:spacing w:after="0" w:line="266" w:lineRule="auto"/>
        <w:rPr>
          <w:sz w:val="20"/>
          <w:szCs w:val="20"/>
          <w:color w:val="auto"/>
        </w:rPr>
      </w:pPr>
      <w:r>
        <w:rPr>
          <w:rFonts w:ascii="Times New Roman" w:cs="Times New Roman" w:eastAsia="Times New Roman" w:hAnsi="Times New Roman"/>
          <w:sz w:val="18"/>
          <w:szCs w:val="18"/>
          <w:color w:val="231F20"/>
        </w:rPr>
        <w:t>Our research, development, and clinical programs, as well as our manufacturing and marketing operations, are subject to extensive regulation in other countries. For example, the EU has adopted specific regulations regulating the design, manufacture, clinical investigations, conformity assessment, labeling and adverse event reporting for medical devices.</w:t>
      </w:r>
    </w:p>
    <w:p>
      <w:pPr>
        <w:spacing w:after="0" w:line="176"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Until May 25, 2021, medical devices were regulated by Council Directive 93/42/EEC ("Medical Devices Directive") which has been repealed and replaced by Regulation (EU) No 2017/745 ("EU MDR"). Our original CE Mark certificates were granted under the Medical Devices Directive. However, as of May 26, 2021, some of the EU MDR requirements apply in place of the corresponding requirements of the Medical Devices Directive, with regard to registration of economic operators and of devices, post-market surveillance and vigilance requirements. Pursuing marketing of medical devices in the EU requires that our devices be certified under the new regime set forth in the EU MDR. On December 11, 2023, the Company received approval of the OMNI Surgical System family of products under the EU Medical Device Regulation (EU MDR), fulfilling these requirements. Our MDD certificate remains valid until May 26,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Medical Devices Regulation</w:t>
      </w:r>
    </w:p>
    <w:p>
      <w:pPr>
        <w:spacing w:after="0" w:line="227" w:lineRule="exact"/>
        <w:rPr>
          <w:sz w:val="20"/>
          <w:szCs w:val="20"/>
          <w:color w:val="auto"/>
        </w:rPr>
      </w:pPr>
    </w:p>
    <w:p>
      <w:pPr>
        <w:ind w:right="180" w:firstLine="419"/>
        <w:spacing w:after="0" w:line="261" w:lineRule="auto"/>
        <w:rPr>
          <w:sz w:val="20"/>
          <w:szCs w:val="20"/>
          <w:color w:val="auto"/>
        </w:rPr>
      </w:pPr>
      <w:r>
        <w:rPr>
          <w:rFonts w:ascii="Times New Roman" w:cs="Times New Roman" w:eastAsia="Times New Roman" w:hAnsi="Times New Roman"/>
          <w:sz w:val="18"/>
          <w:szCs w:val="18"/>
          <w:color w:val="231F20"/>
        </w:rPr>
        <w:t>On April 5, 2017, the EU MDR was adopted. The EU MDR establishes a uniform, transparent, predictable and sustainable regulatory framework across the EU for medical devices and ensure a high level of safety and health while supporting innovation. Unlike the Medical Devices Directive, the EU MDR is directly applicable in EU member states without the need for member states to implement into national law. This aims at increasing harmonization across the EU.</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 xml:space="preserve">The EU MDR </w:t>
      </w:r>
      <w:r>
        <w:rPr>
          <w:rFonts w:ascii="Times New Roman" w:cs="Times New Roman" w:eastAsia="Times New Roman" w:hAnsi="Times New Roman"/>
          <w:sz w:val="18"/>
          <w:szCs w:val="18"/>
          <w:color w:val="000000"/>
        </w:rPr>
        <w:t>became effective on May 26, 2021.</w:t>
      </w:r>
      <w:r>
        <w:rPr>
          <w:rFonts w:ascii="Times New Roman" w:cs="Times New Roman" w:eastAsia="Times New Roman" w:hAnsi="Times New Roman"/>
          <w:sz w:val="18"/>
          <w:szCs w:val="18"/>
          <w:color w:val="231F20"/>
        </w:rPr>
        <w:t xml:space="preserve"> The new regulation among other things:</w:t>
      </w:r>
    </w:p>
    <w:p>
      <w:pPr>
        <w:spacing w:after="0" w:line="225" w:lineRule="exact"/>
        <w:rPr>
          <w:sz w:val="20"/>
          <w:szCs w:val="20"/>
          <w:color w:val="auto"/>
        </w:rPr>
      </w:pPr>
    </w:p>
    <w:p>
      <w:pPr>
        <w:ind w:left="800" w:right="1060" w:hanging="283"/>
        <w:spacing w:after="0" w:line="282" w:lineRule="auto"/>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strengthens the rules on placing devices on the market </w:t>
      </w:r>
      <w:r>
        <w:rPr>
          <w:rFonts w:ascii="Times New Roman" w:cs="Times New Roman" w:eastAsia="Times New Roman" w:hAnsi="Times New Roman"/>
          <w:sz w:val="18"/>
          <w:szCs w:val="18"/>
          <w:color w:val="000000"/>
        </w:rPr>
        <w:t>(e.g. reclassification of certain devices and wider scope than the Medical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Devices Directive) </w:t>
      </w:r>
      <w:r>
        <w:rPr>
          <w:rFonts w:ascii="Times New Roman" w:cs="Times New Roman" w:eastAsia="Times New Roman" w:hAnsi="Times New Roman"/>
          <w:sz w:val="18"/>
          <w:szCs w:val="18"/>
          <w:color w:val="231F20"/>
        </w:rPr>
        <w:t>and reinforces surveillance once they are available;</w:t>
      </w:r>
    </w:p>
    <w:p>
      <w:pPr>
        <w:spacing w:after="0" w:line="53" w:lineRule="exact"/>
        <w:rPr>
          <w:rFonts w:ascii="Times New Roman" w:cs="Times New Roman" w:eastAsia="Times New Roman" w:hAnsi="Times New Roman"/>
          <w:sz w:val="18"/>
          <w:szCs w:val="18"/>
          <w:color w:val="231F20"/>
        </w:rPr>
      </w:pPr>
    </w:p>
    <w:p>
      <w:pPr>
        <w:ind w:left="800" w:right="760" w:hanging="283"/>
        <w:spacing w:after="0" w:line="282" w:lineRule="auto"/>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establishes explicit provisions on manufacturers’ responsibilities for the follow-up of the quality, performance and safety of devices placed on the market;</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w:t>
      </w:r>
      <w:r>
        <w:rPr>
          <w:rFonts w:ascii="Times New Roman" w:cs="Times New Roman" w:eastAsia="Times New Roman" w:hAnsi="Times New Roman"/>
          <w:sz w:val="18"/>
          <w:szCs w:val="18"/>
          <w:color w:val="000000"/>
        </w:rPr>
        <w:t>shes explicit provisions on importers’ and distributors’ obligations and responsibilities;</w:t>
      </w:r>
    </w:p>
    <w:p>
      <w:pPr>
        <w:spacing w:after="0" w:line="117" w:lineRule="exact"/>
        <w:rPr>
          <w:rFonts w:ascii="Times New Roman" w:cs="Times New Roman" w:eastAsia="Times New Roman" w:hAnsi="Times New Roman"/>
          <w:sz w:val="18"/>
          <w:szCs w:val="18"/>
          <w:color w:val="231F20"/>
        </w:rPr>
      </w:pPr>
    </w:p>
    <w:p>
      <w:pPr>
        <w:ind w:left="800" w:right="1440" w:hanging="283"/>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 obligation to identify a responsible person who is ultimately responsible for all aspects of compliance with the requirements of the new regulation;</w:t>
      </w:r>
    </w:p>
    <w:p>
      <w:pPr>
        <w:spacing w:after="0" w:line="53" w:lineRule="exact"/>
        <w:rPr>
          <w:rFonts w:ascii="Times New Roman" w:cs="Times New Roman" w:eastAsia="Times New Roman" w:hAnsi="Times New Roman"/>
          <w:sz w:val="18"/>
          <w:szCs w:val="18"/>
          <w:color w:val="auto"/>
        </w:rPr>
      </w:pPr>
    </w:p>
    <w:p>
      <w:pPr>
        <w:ind w:left="800" w:right="720" w:hanging="283"/>
        <w:spacing w:after="0" w:line="266" w:lineRule="auto"/>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improves the traceability of medical devices throughout the supply chain to the end-user or patient through </w:t>
      </w:r>
      <w:r>
        <w:rPr>
          <w:rFonts w:ascii="Times New Roman" w:cs="Times New Roman" w:eastAsia="Times New Roman" w:hAnsi="Times New Roman"/>
          <w:sz w:val="18"/>
          <w:szCs w:val="18"/>
          <w:color w:val="000000"/>
        </w:rPr>
        <w:t>the introduction of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unique identification number, to increase the ability of manufacturers and regulatory authorities to trace specific devices through the supply chain and to facilitate the prompt and efficient recall of medical devices that have been found to present a safety risk</w:t>
      </w:r>
      <w:r>
        <w:rPr>
          <w:rFonts w:ascii="Times New Roman" w:cs="Times New Roman" w:eastAsia="Times New Roman" w:hAnsi="Times New Roman"/>
          <w:sz w:val="18"/>
          <w:szCs w:val="18"/>
          <w:color w:val="231F20"/>
        </w:rPr>
        <w:t>;</w:t>
      </w:r>
    </w:p>
    <w:p>
      <w:pPr>
        <w:spacing w:after="0" w:line="67" w:lineRule="exact"/>
        <w:rPr>
          <w:rFonts w:ascii="Times New Roman" w:cs="Times New Roman" w:eastAsia="Times New Roman" w:hAnsi="Times New Roman"/>
          <w:sz w:val="18"/>
          <w:szCs w:val="18"/>
          <w:color w:val="231F20"/>
        </w:rPr>
      </w:pPr>
    </w:p>
    <w:p>
      <w:pPr>
        <w:ind w:left="800" w:right="760" w:hanging="283"/>
        <w:spacing w:after="0" w:line="282" w:lineRule="auto"/>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sets up a central database ("Eudamed") to provide patients, healthcare professionals and the public with comprehensive information on products available in the EU; and</w:t>
      </w:r>
    </w:p>
    <w:p>
      <w:pPr>
        <w:spacing w:after="0" w:line="53" w:lineRule="exact"/>
        <w:rPr>
          <w:rFonts w:ascii="Times New Roman" w:cs="Times New Roman" w:eastAsia="Times New Roman" w:hAnsi="Times New Roman"/>
          <w:sz w:val="18"/>
          <w:szCs w:val="18"/>
          <w:color w:val="231F20"/>
        </w:rPr>
      </w:pPr>
    </w:p>
    <w:p>
      <w:pPr>
        <w:ind w:left="800" w:right="1320" w:hanging="283"/>
        <w:spacing w:after="0" w:line="282" w:lineRule="auto"/>
        <w:tabs>
          <w:tab w:leader="none" w:pos="8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strengthens the rules for the assessment of certain high-risk devices, </w:t>
      </w:r>
      <w:r>
        <w:rPr>
          <w:rFonts w:ascii="Times New Roman" w:cs="Times New Roman" w:eastAsia="Times New Roman" w:hAnsi="Times New Roman"/>
          <w:sz w:val="18"/>
          <w:szCs w:val="18"/>
          <w:color w:val="000000"/>
        </w:rPr>
        <w:t>such as implants,</w:t>
      </w:r>
      <w:r>
        <w:rPr>
          <w:rFonts w:ascii="Times New Roman" w:cs="Times New Roman" w:eastAsia="Times New Roman" w:hAnsi="Times New Roman"/>
          <w:sz w:val="18"/>
          <w:szCs w:val="18"/>
          <w:color w:val="231F20"/>
        </w:rPr>
        <w:t xml:space="preserve"> which may have to undergo </w:t>
      </w:r>
      <w:r>
        <w:rPr>
          <w:rFonts w:ascii="Times New Roman" w:cs="Times New Roman" w:eastAsia="Times New Roman" w:hAnsi="Times New Roman"/>
          <w:sz w:val="18"/>
          <w:szCs w:val="18"/>
          <w:color w:val="000000"/>
        </w:rPr>
        <w:t>a clinical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evaluation consultation procedure by experts </w:t>
      </w:r>
      <w:r>
        <w:rPr>
          <w:rFonts w:ascii="Times New Roman" w:cs="Times New Roman" w:eastAsia="Times New Roman" w:hAnsi="Times New Roman"/>
          <w:sz w:val="18"/>
          <w:szCs w:val="18"/>
          <w:color w:val="231F20"/>
        </w:rPr>
        <w:t>before they are placed on the market.</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23" w:name="page24"/>
    <w:bookmarkEnd w:id="23"/>
    <w:p>
      <w:pPr>
        <w:ind w:right="100" w:firstLine="419"/>
        <w:spacing w:after="0" w:line="256" w:lineRule="auto"/>
        <w:rPr>
          <w:sz w:val="20"/>
          <w:szCs w:val="20"/>
          <w:color w:val="auto"/>
        </w:rPr>
      </w:pPr>
      <w:r>
        <w:rPr>
          <w:rFonts w:ascii="Times New Roman" w:cs="Times New Roman" w:eastAsia="Times New Roman" w:hAnsi="Times New Roman"/>
          <w:sz w:val="18"/>
          <w:szCs w:val="18"/>
          <w:color w:val="231F20"/>
        </w:rPr>
        <w:t>The aforementioned EU rules are generally applicable in the European Economic Area ("EEA"), which consists of the 27 EU member states plus Norway, Liechtenstein and Iceland. Other countries, such as Switzerland, have entered into Mutual Recognition Agreements and allow the marketing of medical devices that meet EU requirements. With the entry into force of the EU MDR, the Swiss-EU Mutual Recognition Agreement was updated as Switzerland is considered a third country to the European Union. Switzerland released their national regulation, the Swiss Medical Devices Ordinance (“MedDO”) on May 25, 2021 and has aligned their requirements with the EU MDR, subject to transitional provisions. Therefore, EU CE Marking Certificates are accepted in Switzerland, along with additional requirements as set forth in the MedDO.</w:t>
      </w:r>
    </w:p>
    <w:p>
      <w:pPr>
        <w:spacing w:after="0" w:line="187" w:lineRule="exact"/>
        <w:rPr>
          <w:sz w:val="20"/>
          <w:szCs w:val="20"/>
          <w:color w:val="auto"/>
        </w:rPr>
      </w:pPr>
    </w:p>
    <w:p>
      <w:pPr>
        <w:ind w:right="100" w:firstLine="419"/>
        <w:spacing w:after="0" w:line="256" w:lineRule="auto"/>
        <w:rPr>
          <w:sz w:val="20"/>
          <w:szCs w:val="20"/>
          <w:color w:val="auto"/>
        </w:rPr>
      </w:pPr>
      <w:r>
        <w:rPr>
          <w:rFonts w:ascii="Times New Roman" w:cs="Times New Roman" w:eastAsia="Times New Roman" w:hAnsi="Times New Roman"/>
          <w:sz w:val="18"/>
          <w:szCs w:val="18"/>
          <w:color w:val="auto"/>
        </w:rPr>
        <w:t>As of January 1, 2021, the United Kingdom has entered a transition period following Brexit. During that period, the UK Medical Devices Regulations (“UK MDR”) 2002 remains applicable in England, Scotland and Wales ("Great Britain"). During 2021, a UK Responsible Person was appointed and we registered the OMNI System with the Medicines and Healthcare products regulatory agency. Valid CE marks under the EU MDR will continue to be accepted in Great Britain, and the requirement to obtain a UK Conformity Assessed ("UKCA") mark has been delayed until June 30, 2030. Sight Sciences received a UKCA certification for the OMNI family of products on March 1, 2024 and will create a transition plan during the period when the CE Mark is still accepted to transition over to the UKCA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Healthcare Fraud and Abuse Laws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In the United States, we are subject to a number of federal and state healthcare regulatory laws that restrict business practices in the healthcare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industry. These laws include, but are not limited to, federal and state anti- kickback, false claims, transparency and other healthcare fraud and abuse laws.</w:t>
      </w:r>
    </w:p>
    <w:p>
      <w:pPr>
        <w:spacing w:after="0" w:line="218"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231F20"/>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cash, improper discounts, and free or reduced price items and services. Among other things, the Anti-Kickback Statute has been interpreted to apply to arrangements between medical device manufacturers on the one hand and prescribers and purchasers on the other. Although there are a number of statutory exceptions and regulatory safe harbors protecting some common activities from prosecution, the exceptions and safe harbors are drawn narrowly. The government can exercise enforcement discretion in taking action against unprotected activities. Further, a person or entity does not need to have actual knowledge of the statute or specific intent to violate it in order to have committed a violation. The majority of states also have anti- kickback laws, which establish similar prohibitions, and in some cases may apply to items or services reimbursed by any third-party payor, including commercial insurers and self-pay patients.</w:t>
      </w:r>
    </w:p>
    <w:p>
      <w:pPr>
        <w:spacing w:after="0" w:line="192"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231F20"/>
        </w:rPr>
        <w:t>The federal false claims legislation,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 In addition, various states have enacted false claim laws analogous to the federal False Claims Act, although many of these state laws apply where a claim is submitted to any third-party payor and not merely a federal healthcare program.</w:t>
      </w:r>
    </w:p>
    <w:p>
      <w:pPr>
        <w:spacing w:after="0" w:line="188"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231F20"/>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24" w:name="page25"/>
    <w:bookmarkEnd w:id="24"/>
    <w:p>
      <w:pPr>
        <w:ind w:right="20"/>
        <w:spacing w:after="0" w:line="282" w:lineRule="auto"/>
        <w:rPr>
          <w:sz w:val="20"/>
          <w:szCs w:val="20"/>
          <w:color w:val="auto"/>
        </w:rPr>
      </w:pPr>
      <w:r>
        <w:rPr>
          <w:rFonts w:ascii="Times New Roman" w:cs="Times New Roman" w:eastAsia="Times New Roman" w:hAnsi="Times New Roman"/>
          <w:sz w:val="18"/>
          <w:szCs w:val="18"/>
          <w:color w:val="231F20"/>
        </w:rPr>
        <w:t>U.S. federal Anti-Kickback Statute, a person or entity does not need to have actual knowledge of the statute or specific intent to violate it in order to have committed a violation.</w:t>
      </w:r>
    </w:p>
    <w:p>
      <w:pPr>
        <w:spacing w:after="0" w:line="162"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231F20"/>
        </w:rPr>
        <w:t>The federal Physician Payments Sunshine Act requires certain manufacturers of drugs, devices, biologics and medical supplies for which payment is available under Medicare, Medicaid or the Children’s Health Insurance Program ("CHIP"), with specific exceptions, to report annually to the Centers for Medicare &amp; Medicaid Services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and their immediate family members. Beginning in 2022, such obligations were expanded to include payments and other transfers of value provided in the previous year to additional healthcare professionals, including physician assistants, nurse practitioners, clinical nurse specialists, certified nurse anesthetists, anesthesiologist assistants and certified nurse midwives.</w:t>
      </w:r>
    </w:p>
    <w:p>
      <w:pPr>
        <w:spacing w:after="0" w:line="192"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231F20"/>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Coverage and Reimbursement</w:t>
      </w:r>
    </w:p>
    <w:p>
      <w:pPr>
        <w:spacing w:after="0" w:line="229" w:lineRule="exact"/>
        <w:rPr>
          <w:sz w:val="20"/>
          <w:szCs w:val="20"/>
          <w:color w:val="auto"/>
        </w:rPr>
      </w:pPr>
    </w:p>
    <w:p>
      <w:pPr>
        <w:ind w:right="180" w:firstLine="419"/>
        <w:spacing w:after="0" w:line="256" w:lineRule="auto"/>
        <w:rPr>
          <w:sz w:val="20"/>
          <w:szCs w:val="20"/>
          <w:color w:val="auto"/>
        </w:rPr>
      </w:pPr>
      <w:r>
        <w:rPr>
          <w:rFonts w:ascii="Times New Roman" w:cs="Times New Roman" w:eastAsia="Times New Roman" w:hAnsi="Times New Roman"/>
          <w:sz w:val="18"/>
          <w:szCs w:val="18"/>
          <w:color w:val="231F20"/>
        </w:rPr>
        <w:t>In the United States, our currently cleared products are not separately reimbursed by any third-party payors, and if covered, are paid for as part of the procedure in which the product is used. Our commercial success depends in part on the extent to which governmental authorities, private health insurers and other third-party payors provide coverage for and establish adequate reimbursement levels for the procedures in which our products are used. Failure by physicians, hospitals, ambulatory surgery centers and other users of our products to receive adequate reimbursement from third-party payors for procedures in which our products are used, or adverse changes in government and private third-party payors’ coverage and reimbursement policies, may adversely impact demand for our products.</w:t>
      </w:r>
    </w:p>
    <w:p>
      <w:pPr>
        <w:spacing w:after="0" w:line="187"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Based on our experience to date, third-party payors generally reimburse for the procedures in which our products are used only if the patient meets the established medical necessity criteria for the procedure. Some payors have moved toward a managed care system and control their healthcare costs by establishing coverage policies that categorically restrict coverage of certain procedures, or by limiting authorization for procedures, including elective procedures using our devices. No uniform policy of coverage and reimbursement among payors in the United States exists, and coverage and reimbursement for procedures can differ significantly from payor to payor. 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our product unless reimbursement approval can be obtained and/or maintained from governmental and private third-party payors.</w:t>
      </w:r>
    </w:p>
    <w:p>
      <w:pPr>
        <w:spacing w:after="0" w:line="188" w:lineRule="exact"/>
        <w:rPr>
          <w:sz w:val="20"/>
          <w:szCs w:val="20"/>
          <w:color w:val="auto"/>
        </w:rPr>
      </w:pPr>
    </w:p>
    <w:p>
      <w:pPr>
        <w:jc w:val="both"/>
        <w:ind w:right="20" w:firstLine="419"/>
        <w:spacing w:after="0" w:line="261" w:lineRule="auto"/>
        <w:rPr>
          <w:sz w:val="20"/>
          <w:szCs w:val="20"/>
          <w:color w:val="auto"/>
        </w:rPr>
      </w:pPr>
      <w:r>
        <w:rPr>
          <w:rFonts w:ascii="Times New Roman" w:cs="Times New Roman" w:eastAsia="Times New Roman" w:hAnsi="Times New Roman"/>
          <w:sz w:val="18"/>
          <w:szCs w:val="18"/>
          <w:color w:val="231F20"/>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which could include lower reimbursement rates for procedures in which our products are used, could directly impact the demand for our products.</w:t>
      </w:r>
    </w:p>
    <w:p>
      <w:pPr>
        <w:spacing w:after="0" w:line="180" w:lineRule="exact"/>
        <w:rPr>
          <w:sz w:val="20"/>
          <w:szCs w:val="20"/>
          <w:color w:val="auto"/>
        </w:rPr>
      </w:pPr>
    </w:p>
    <w:p>
      <w:pPr>
        <w:ind w:right="200" w:firstLine="419"/>
        <w:spacing w:after="0" w:line="256" w:lineRule="auto"/>
        <w:rPr>
          <w:sz w:val="20"/>
          <w:szCs w:val="20"/>
          <w:color w:val="auto"/>
        </w:rPr>
      </w:pPr>
      <w:r>
        <w:rPr>
          <w:rFonts w:ascii="Times New Roman" w:cs="Times New Roman" w:eastAsia="Times New Roman" w:hAnsi="Times New Roman"/>
          <w:sz w:val="18"/>
          <w:szCs w:val="18"/>
          <w:color w:val="231F20"/>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Third-party payors are developing increasingly sophisticated methods of controlling healthcare costs through prospective reimbursement and capitation programs, group purchasing, redesign of benefits, and exploration of more cost-effective methods of delivering healthcare. In the United States, some insured individuals enroll in managed care programs, which monitor and often require pre-approval of the services that a member will receive. Some managed care programs pay their providers on a per capita (patient) basis, which puts the providers at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231F20"/>
        </w:rPr>
        <w:t>financial risk for the services provided to their patients by paying these providers a predetermined payment per member per month and, consequently, may limit the willingness of these providers to use our products.</w:t>
      </w:r>
    </w:p>
    <w:p>
      <w:pPr>
        <w:spacing w:after="0" w:line="200" w:lineRule="exact"/>
        <w:rPr>
          <w:sz w:val="20"/>
          <w:szCs w:val="20"/>
          <w:color w:val="auto"/>
        </w:rPr>
      </w:pPr>
    </w:p>
    <w:p>
      <w:pPr>
        <w:spacing w:after="0" w:line="3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440" w:top="1093" w:right="6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231F20"/>
        </w:rPr>
        <w:t>Healthcare Reform</w:t>
      </w:r>
    </w:p>
    <w:p>
      <w:pPr>
        <w:spacing w:after="0" w:line="229" w:lineRule="exact"/>
        <w:rPr>
          <w:sz w:val="20"/>
          <w:szCs w:val="20"/>
          <w:color w:val="auto"/>
        </w:rPr>
      </w:pPr>
    </w:p>
    <w:p>
      <w:pPr>
        <w:ind w:right="80" w:firstLine="419"/>
        <w:spacing w:after="0" w:line="256" w:lineRule="auto"/>
        <w:rPr>
          <w:sz w:val="20"/>
          <w:szCs w:val="20"/>
          <w:color w:val="auto"/>
        </w:rPr>
      </w:pPr>
      <w:r>
        <w:rPr>
          <w:rFonts w:ascii="Times New Roman" w:cs="Times New Roman" w:eastAsia="Times New Roman" w:hAnsi="Times New Roman"/>
          <w:sz w:val="18"/>
          <w:szCs w:val="18"/>
          <w:color w:val="231F20"/>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187" w:lineRule="exact"/>
        <w:rPr>
          <w:sz w:val="20"/>
          <w:szCs w:val="20"/>
          <w:color w:val="auto"/>
        </w:rPr>
      </w:pPr>
    </w:p>
    <w:p>
      <w:pPr>
        <w:ind w:right="40" w:firstLine="419"/>
        <w:spacing w:after="0" w:line="253" w:lineRule="auto"/>
        <w:rPr>
          <w:sz w:val="20"/>
          <w:szCs w:val="20"/>
          <w:color w:val="auto"/>
        </w:rPr>
      </w:pPr>
      <w:r>
        <w:rPr>
          <w:rFonts w:ascii="Times New Roman" w:cs="Times New Roman" w:eastAsia="Times New Roman" w:hAnsi="Times New Roman"/>
          <w:sz w:val="18"/>
          <w:szCs w:val="18"/>
          <w:color w:val="231F20"/>
        </w:rPr>
        <w:t>The implementation of the Affordable Care Act ("ACA") in the United States, for example, has changed healthcare financing and delivery by both governmental and private insurers substantially, and affected medical device manufacturers significantly.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political challenges to certain aspects of the ACA. On June 17, 2021, the U.S. Supreme Court dismissed the most recent judicial challenge to the ACA brought by several states without specifically ruling on the constitutionality of the ACA. It is unclear how healthcare reform measures of the Biden administration or other efforts, if any, to challenge, repeal or replace the ACA will impact the law or our business.</w:t>
      </w:r>
    </w:p>
    <w:p>
      <w:pPr>
        <w:spacing w:after="0" w:line="194" w:lineRule="exact"/>
        <w:rPr>
          <w:sz w:val="20"/>
          <w:szCs w:val="20"/>
          <w:color w:val="auto"/>
        </w:rPr>
      </w:pPr>
    </w:p>
    <w:p>
      <w:pPr>
        <w:ind w:right="80" w:firstLine="419"/>
        <w:spacing w:after="0" w:line="258" w:lineRule="auto"/>
        <w:rPr>
          <w:sz w:val="20"/>
          <w:szCs w:val="20"/>
          <w:color w:val="auto"/>
        </w:rPr>
      </w:pPr>
      <w:r>
        <w:rPr>
          <w:rFonts w:ascii="Times New Roman" w:cs="Times New Roman" w:eastAsia="Times New Roman" w:hAnsi="Times New Roman"/>
          <w:sz w:val="18"/>
          <w:szCs w:val="18"/>
          <w:color w:val="231F20"/>
        </w:rPr>
        <w:t>In addition, the American Taxpayer Relief Act of 2012, among other things, further reduced Medicare payments to several providers, including hospitals, and increased the statute of limitations period for the government to recover overpayments to providers from three to five years. The Medicare Access and CHIP Reauthorization Act of 2015 repealed the formula by which Medicare made annual payment adjustments to physicians and replaced the former formula with fixed annual updates and a new system of incentive payments that began in 2019 that are based on various performance measures and physicians’ participation in alternative payment models, such as accountable care organizations.</w:t>
      </w:r>
    </w:p>
    <w:p>
      <w:pPr>
        <w:spacing w:after="0" w:line="183"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231F20"/>
        </w:rPr>
        <w:t>We expect additional state, federal, and foreign healthcare reform measures to be adopted in the future, any of which could limit the amounts that federal, state, and foreign governments will pay for healthcare products and services, which could result in reduced demand for our products or additional pricing pressure.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Data Privacy and Security Laws</w:t>
      </w:r>
    </w:p>
    <w:p>
      <w:pPr>
        <w:spacing w:after="0" w:line="229" w:lineRule="exact"/>
        <w:rPr>
          <w:sz w:val="20"/>
          <w:szCs w:val="20"/>
          <w:color w:val="auto"/>
        </w:rPr>
      </w:pPr>
    </w:p>
    <w:p>
      <w:pPr>
        <w:ind w:right="60" w:firstLine="419"/>
        <w:spacing w:after="0" w:line="253" w:lineRule="auto"/>
        <w:rPr>
          <w:sz w:val="20"/>
          <w:szCs w:val="20"/>
          <w:color w:val="auto"/>
        </w:rPr>
      </w:pPr>
      <w:r>
        <w:rPr>
          <w:rFonts w:ascii="Times New Roman" w:cs="Times New Roman" w:eastAsia="Times New Roman" w:hAnsi="Times New Roman"/>
          <w:sz w:val="18"/>
          <w:szCs w:val="18"/>
          <w:color w:val="231F20"/>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FTC Act), that govern the collection, use, disclosure, and protection of health-related and other personal information could apply to our operations or the operations of our partners. In addition, certain state and non-U.S. laws, such as the California Consumer Privacy Act ("CCPA"), the Colorado Privacy Act ("CPA"), other state laws similar to the CCPA or CPA, and the General Data Protection Regulation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90" w:lineRule="exact"/>
        <w:rPr>
          <w:sz w:val="20"/>
          <w:szCs w:val="20"/>
          <w:color w:val="auto"/>
        </w:rPr>
      </w:pPr>
    </w:p>
    <w:p>
      <w:pPr>
        <w:jc w:val="both"/>
        <w:ind w:right="60" w:firstLine="419"/>
        <w:spacing w:after="0" w:line="261" w:lineRule="auto"/>
        <w:rPr>
          <w:sz w:val="20"/>
          <w:szCs w:val="20"/>
          <w:color w:val="auto"/>
        </w:rPr>
      </w:pPr>
      <w:r>
        <w:rPr>
          <w:rFonts w:ascii="Times New Roman" w:cs="Times New Roman" w:eastAsia="Times New Roman" w:hAnsi="Times New Roman"/>
          <w:sz w:val="18"/>
          <w:szCs w:val="18"/>
          <w:color w:val="231F20"/>
        </w:rPr>
        <w:t>In Europe, the GDPR went into effect on May 25, 2018 and introduces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Among other requirements, the GDPR regulates transfers of personal data subject to the GDPR to third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27" w:name="page28"/>
    <w:bookmarkEnd w:id="27"/>
    <w:p>
      <w:pPr>
        <w:ind w:right="260"/>
        <w:spacing w:after="0" w:line="282" w:lineRule="auto"/>
        <w:rPr>
          <w:sz w:val="20"/>
          <w:szCs w:val="20"/>
          <w:color w:val="auto"/>
        </w:rPr>
      </w:pPr>
      <w:r>
        <w:rPr>
          <w:rFonts w:ascii="Times New Roman" w:cs="Times New Roman" w:eastAsia="Times New Roman" w:hAnsi="Times New Roman"/>
          <w:sz w:val="18"/>
          <w:szCs w:val="18"/>
          <w:color w:val="231F20"/>
        </w:rPr>
        <w:t>countries that have not been found to provide adequate protection to such personal data, including the United States, and the efficacy and longevity of current transfer mechanisms between the EU and the United States remains uncertain.</w:t>
      </w:r>
    </w:p>
    <w:p>
      <w:pPr>
        <w:spacing w:after="0" w:line="162" w:lineRule="exact"/>
        <w:rPr>
          <w:sz w:val="20"/>
          <w:szCs w:val="20"/>
          <w:color w:val="auto"/>
        </w:rPr>
      </w:pPr>
    </w:p>
    <w:p>
      <w:pPr>
        <w:ind w:right="80" w:firstLine="419"/>
        <w:spacing w:after="0" w:line="261" w:lineRule="auto"/>
        <w:rPr>
          <w:sz w:val="20"/>
          <w:szCs w:val="20"/>
          <w:color w:val="auto"/>
        </w:rPr>
      </w:pPr>
      <w:r>
        <w:rPr>
          <w:rFonts w:ascii="Times New Roman" w:cs="Times New Roman" w:eastAsia="Times New Roman" w:hAnsi="Times New Roman"/>
          <w:sz w:val="18"/>
          <w:szCs w:val="18"/>
          <w:color w:val="231F20"/>
        </w:rPr>
        <w:t>Further, from January 1, 2021, companies have to comply with the GDPR and also the United Kingdom General Data Protection Regulation ("UK GDPR"), which, together with the amended UK Data Protection Act 2018, retains the GDPR in UK national law. The relationship between the United Kingdom and the European Union in relation to certain aspects of data protection law remains unclear, and it is also unclear how United Kingdom data protection laws and regulations will develop, and how data transfers to and from the United Kingdom will be regulated.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Human Capital</w:t>
      </w:r>
    </w:p>
    <w:p>
      <w:pPr>
        <w:spacing w:after="0" w:line="229"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231F20"/>
        </w:rPr>
        <w:t>As of December 31, 2023, we had 214 full-time employees. Our highly qualified and experienced team includes scientists, physicians and professionals across sales, marketing, regulatory, finance and other important functions that are critical to our success. We believe that the success of our business will depend, in part, on our ability to attract and retain qualified personnel. None of our employees are represented by a labor union or are a party to a collective bargaining agreement and we believe that we have good relations with our employees.</w:t>
      </w:r>
    </w:p>
    <w:p>
      <w:pPr>
        <w:spacing w:after="0" w:line="180"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auto"/>
        </w:rPr>
        <w:t>We believe that our continued success is reliant on the ability to attract, develop and retain top talent. To facilitate talent attraction and retention, we strive to foster an inclusive and safe workplace, with opportunities for our employees to grow and develop in their careers, supported by competitive compensation and benefits programs. In the attraction, development and retention of talent, we emphasize:</w:t>
      </w:r>
    </w:p>
    <w:p>
      <w:pPr>
        <w:spacing w:after="0" w:line="174" w:lineRule="exact"/>
        <w:rPr>
          <w:sz w:val="20"/>
          <w:szCs w:val="20"/>
          <w:color w:val="auto"/>
        </w:rPr>
      </w:pPr>
    </w:p>
    <w:p>
      <w:pPr>
        <w:ind w:right="100" w:firstLine="4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strive to provide competitive compensation and benefits programs to attract and retain top talent and review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annually against the competitive landscape to ensure they continue to meet the needs of our employees. In addition to salaries, these programs include a variety of short and long-term incentive plans such as annual bonuses, equity awards, an Employee Stock Purchase Plan, a 401(k) Plan, healthcare and insurance benefits, health savings and flexible spending accounts, paid time off, family leave, family care resources, flexible work schedules, and employee assistance programs. In addition to our broad-based equity award programs, we have used targeted equity-based grants with vesting conditions to facilitate the retention and engagement of our talent.</w:t>
      </w:r>
    </w:p>
    <w:p>
      <w:pPr>
        <w:spacing w:after="0" w:line="182" w:lineRule="exact"/>
        <w:rPr>
          <w:sz w:val="20"/>
          <w:szCs w:val="20"/>
          <w:color w:val="auto"/>
        </w:rPr>
      </w:pPr>
    </w:p>
    <w:p>
      <w:pPr>
        <w:ind w:right="160"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Talent Development. </w:t>
      </w:r>
      <w:r>
        <w:rPr>
          <w:rFonts w:ascii="Times New Roman" w:cs="Times New Roman" w:eastAsia="Times New Roman" w:hAnsi="Times New Roman"/>
          <w:sz w:val="18"/>
          <w:szCs w:val="18"/>
          <w:color w:val="auto"/>
        </w:rPr>
        <w:t>We believe employees are our greatest asset and we strive to provide development and promotional opportunities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 our employees reach their potential. We provide formal and informal training opportunities designed to enhance learning and development. Consistent with our performance review processes, we foster and encourage continuous manager and employee dialogue around performance and development.</w:t>
      </w:r>
    </w:p>
    <w:p>
      <w:pPr>
        <w:spacing w:after="0" w:line="180" w:lineRule="exact"/>
        <w:rPr>
          <w:sz w:val="20"/>
          <w:szCs w:val="20"/>
          <w:color w:val="auto"/>
        </w:rPr>
      </w:pPr>
    </w:p>
    <w:p>
      <w:pPr>
        <w:ind w:right="40"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Safety and Wellness. </w:t>
      </w:r>
      <w:r>
        <w:rPr>
          <w:rFonts w:ascii="Times New Roman" w:cs="Times New Roman" w:eastAsia="Times New Roman" w:hAnsi="Times New Roman"/>
          <w:sz w:val="18"/>
          <w:szCs w:val="18"/>
          <w:color w:val="auto"/>
        </w:rPr>
        <w:t>We are committed to the health, safety and wellness of our employees. We provide our employees and their families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access to a variety of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w:t>
      </w:r>
    </w:p>
    <w:p>
      <w:pPr>
        <w:spacing w:after="0" w:line="180"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Diversity, Equity, Inclusion, and Belonging. </w:t>
      </w:r>
      <w:r>
        <w:rPr>
          <w:rFonts w:ascii="Times New Roman" w:cs="Times New Roman" w:eastAsia="Times New Roman" w:hAnsi="Times New Roman"/>
          <w:sz w:val="18"/>
          <w:szCs w:val="18"/>
          <w:color w:val="auto"/>
        </w:rPr>
        <w:t>We believe diversity of thought, values, individual characteristics, beliefs and backgrounds is critical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overall success. We are an equal opportunity employer and believe that diverse and differentiated views contribute to make us a better organization where every employee not only contributes to our collective success but also feels a sense of belonging. It is our conscious effort to support the advancement of women and Black, Indigenous and other people of color and promote equal opportunity for all our employees within the workplace.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100" w:firstLine="419"/>
        <w:spacing w:after="0" w:line="258" w:lineRule="auto"/>
        <w:rPr>
          <w:sz w:val="20"/>
          <w:szCs w:val="20"/>
          <w:color w:val="auto"/>
        </w:rPr>
      </w:pPr>
      <w:r>
        <w:rPr>
          <w:rFonts w:ascii="Times New Roman" w:cs="Times New Roman" w:eastAsia="Times New Roman" w:hAnsi="Times New Roman"/>
          <w:sz w:val="18"/>
          <w:szCs w:val="18"/>
          <w:color w:val="auto"/>
        </w:rPr>
        <w:t>Sight Sciences, Inc. was incorporated as a Delaware corporation on February 10, 2010. We maintain a website at www.sightsciences.com. At our Investor Relations website, investors.sightsciences.com, we make available free of charge information for investors, including our Annual Reports on Form 10-K, Quarterly Reports on Form 10-Q, Current Reports on Form 8-K, and any amendments to those reports, as soon as reasonably practicable after we electronically file that material with or furnish it to the SEC. The information found on our website is not part of this or any other report we file with, or furnish to, the SEC, and references to our website address are inactive textual references only.</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condensed consolidated financial statements and the accompanying notes thereto included elsewhere in this Annual Report on Form 10-K, before investing in our common stock.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early-stage company with a history of significant losses, we expect to incur losses in the future and we may not be able to achieve or sustain profitability, which may make it difficult to evaluate the success of our business to date and to assess the prospects for our future viability.</w:t>
      </w:r>
    </w:p>
    <w:p>
      <w:pPr>
        <w:spacing w:after="0" w:line="28" w:lineRule="exact"/>
        <w:rPr>
          <w:sz w:val="20"/>
          <w:szCs w:val="20"/>
          <w:color w:val="auto"/>
        </w:rPr>
      </w:pPr>
    </w:p>
    <w:p>
      <w:pPr>
        <w:ind w:right="120" w:firstLine="419"/>
        <w:spacing w:after="0" w:line="256" w:lineRule="auto"/>
        <w:rPr>
          <w:sz w:val="20"/>
          <w:szCs w:val="20"/>
          <w:color w:val="auto"/>
        </w:rPr>
      </w:pPr>
      <w:r>
        <w:rPr>
          <w:rFonts w:ascii="Times New Roman" w:cs="Times New Roman" w:eastAsia="Times New Roman" w:hAnsi="Times New Roman"/>
          <w:sz w:val="18"/>
          <w:szCs w:val="18"/>
          <w:color w:val="auto"/>
        </w:rPr>
        <w:t>We have incurred annual net losses since our formation in 2010. For the years ended December 31, 2023 and 2022, we had net losses of $55.5 million and $86.2 million, respectively. As of December 31, 2023, we had an accumulated a deficit of $294.8 million. To date, we have financed our operations primarily through equity and debt financings and from sales of our products. The losses and accumulated deficit have primarily been due to the substantial investments we have made to develop our products, costs related to our sales and marketing efforts, general research and development expenses, including costs related to clinical trials and regulatory initiatives to obtain marketing clearance, and infrastructure improvements. In addition, as a public company, we incur significant legal, accounting and other expenses that we did not incur as a private company.</w:t>
      </w:r>
    </w:p>
    <w:p>
      <w:pPr>
        <w:spacing w:after="0" w:line="187"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Accordingly, we expect to continue to incur losses for the foreseeable future and we cannot assure you that we will ever achieve profitability or that, if we do become profitable, we will sustain profitability. Our failure to achieve and sustain profitability in the future would make it more difficult to finance our business and accomplish our strategic objectives, which would have a material adverse effect on our business, financial condition and results of operations. In addition, failure of our products to significantly penetrate our target markets would negatively affect our business, financial condition and results of operations.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revenue from the sales of our products, and our inability to successfully execute our growth strategy could negatively affect our results of operations and financial condition.</w:t>
      </w:r>
    </w:p>
    <w:p>
      <w:pPr>
        <w:spacing w:after="0" w:line="5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We began selling VISCO360 and TRAB360, commercial predicate devices to OMNI, in 2015, TearCare in 2019 and SION in the second half of 2022, and therefore do not have a long history operating as a commercial company. Currently, we are highly dependent on the success of OMNI and SION, which comprise our current commercial Surgical Glaucoma products, and our TearCare system, and we expect substantially all of our product revenues in at least the next 12 months to be derived from these products. We are particularly dependent on the success of OMNI, which accounted for the large majority of our total revenues for the year ended December 31, 2023, and which we believe will continue to account for the substantial majority of our revenue going forward. Because we devote substantially all of our resources to these products and rely on them as our sole source of revenue, any factors that negatively impact our products, and particularly OMNI, or result in a decrease in sales, could have a material adverse effect on our business, financial condition and results of operations.</w:t>
      </w:r>
    </w:p>
    <w:p>
      <w:pPr>
        <w:spacing w:after="0" w:line="192"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In June 2023, five MACs published draft local coverage determinations (the “Draft LCDs”), that identified certain procedures as investigational in patients over the age of 18 for glaucoma management, including canaloplasty in combination with trabeculotomy (ab interno) which is a procedure associated with OMNI. In the fourth quarter of 2023, these Draft LCDs, as amended, were published in final form with a future effective date of January 29, 2024 and then subsequently withdrawn in late December 2023. Had these LCDs not been withdrawn, canaloplasty followed by trabeculotomy (ab interno) would have been rendered non-covered as of January 29, 2024 with respect to Medicare Part B beneficiaries in the states administered by these MACs, which would have materially and adversely impacted our business, revenues and prospects. It is possible that one or more MACs will publish new or updated LCDs or other determinations in the future that could characterize procedures associated with our products as non-covered, or as covered under more limited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089"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parameters. The publication and effectiveness of any such future determinations would adversely affect our business and results of operation.</w:t>
      </w:r>
    </w:p>
    <w:p>
      <w:pPr>
        <w:spacing w:after="0" w:line="225"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Over the next several years, we expect to continue to devote substantial resources to expand our commercialization efforts, drive increased adoption of our products and continue to develop new and improved products. Our limited commercialization experience and number of products make it difficult to evaluate our current business and predict our future prospects. For example, we believe that OMNI can be used as a Standalone Procedure to help effectively reduce IOP in adult POAG patients, but we have limited commercial experience with this Standalone Market Segment, and the extent to which we are able to penetrate and grow this market is unknown. In addition, a number of factors, including some outside of our control, may render our products economically impracticable or obsolete and contribute to fluctuations in our financial results, including:</w:t>
      </w:r>
    </w:p>
    <w:p>
      <w:pPr>
        <w:spacing w:after="0" w:line="187" w:lineRule="exact"/>
        <w:rPr>
          <w:sz w:val="20"/>
          <w:szCs w:val="20"/>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reimbursement coverage for procedures in which our products are used;</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rates by government or commercial payors;</w:t>
      </w:r>
    </w:p>
    <w:p>
      <w:pPr>
        <w:spacing w:after="0" w:line="117" w:lineRule="exact"/>
        <w:rPr>
          <w:rFonts w:ascii="Times New Roman" w:cs="Times New Roman" w:eastAsia="Times New Roman" w:hAnsi="Times New Roman"/>
          <w:sz w:val="18"/>
          <w:szCs w:val="18"/>
          <w:color w:val="auto"/>
        </w:rPr>
      </w:pPr>
    </w:p>
    <w:p>
      <w:pPr>
        <w:ind w:left="800" w:right="1240" w:hanging="283"/>
        <w:spacing w:after="0" w:line="28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or investigations, including perceived inadequacy or insufficiency of evidence supporting the clinical benefits or cost-effectiveness of our products;</w:t>
      </w:r>
    </w:p>
    <w:p>
      <w:pPr>
        <w:spacing w:after="0" w:line="53" w:lineRule="exact"/>
        <w:rPr>
          <w:rFonts w:ascii="Times New Roman" w:cs="Times New Roman" w:eastAsia="Times New Roman" w:hAnsi="Times New Roman"/>
          <w:sz w:val="18"/>
          <w:szCs w:val="18"/>
          <w:color w:val="auto"/>
        </w:rPr>
      </w:pPr>
    </w:p>
    <w:p>
      <w:pPr>
        <w:ind w:left="800" w:right="1120" w:hanging="283"/>
        <w:spacing w:after="0" w:line="28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media coverage, or public, patient and/or physician perception, of our products or competing products and treatments;</w:t>
      </w:r>
    </w:p>
    <w:p>
      <w:pPr>
        <w:spacing w:after="0" w:line="53" w:lineRule="exact"/>
        <w:rPr>
          <w:rFonts w:ascii="Times New Roman" w:cs="Times New Roman" w:eastAsia="Times New Roman" w:hAnsi="Times New Roman"/>
          <w:sz w:val="18"/>
          <w:szCs w:val="18"/>
          <w:color w:val="auto"/>
        </w:rPr>
      </w:pPr>
    </w:p>
    <w:p>
      <w:pPr>
        <w:ind w:left="800" w:right="740" w:hanging="283"/>
        <w:spacing w:after="0" w:line="28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safety or effectiveness concerns that arise regarding our products for either their currently authorized uses or the uses for which we are developing our products;</w:t>
      </w:r>
    </w:p>
    <w:p>
      <w:pPr>
        <w:spacing w:after="0" w:line="53" w:lineRule="exact"/>
        <w:rPr>
          <w:rFonts w:ascii="Times New Roman" w:cs="Times New Roman" w:eastAsia="Times New Roman" w:hAnsi="Times New Roman"/>
          <w:sz w:val="18"/>
          <w:szCs w:val="18"/>
          <w:color w:val="auto"/>
        </w:rPr>
      </w:pPr>
    </w:p>
    <w:p>
      <w:pPr>
        <w:ind w:left="800" w:right="1680" w:hanging="283"/>
        <w:spacing w:after="0" w:line="28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efforts, including our ability to have a sufficient number of qualified sales representatives to sell our products;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in product development or product launches;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on acceptable terms, or at all, if needed to support the commercialization of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compliance with all legal and regulatory requirements applicable to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800" w:right="1160" w:hanging="283"/>
        <w:spacing w:after="0" w:line="28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ability to supply our products in a timely manner, in accordance with our specifications, and in compliance with applicable regulatory requirements; and</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alternative treatments that compete with our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upon the broad adoption of our products by eyecare professionals and patients.</w:t>
      </w:r>
    </w:p>
    <w:p>
      <w:pPr>
        <w:spacing w:after="0" w:line="121" w:lineRule="exact"/>
        <w:rPr>
          <w:sz w:val="20"/>
          <w:szCs w:val="20"/>
          <w:color w:val="auto"/>
        </w:rPr>
      </w:pPr>
    </w:p>
    <w:p>
      <w:pPr>
        <w:ind w:right="240" w:firstLine="419"/>
        <w:spacing w:after="0" w:line="256" w:lineRule="auto"/>
        <w:rPr>
          <w:sz w:val="20"/>
          <w:szCs w:val="20"/>
          <w:color w:val="auto"/>
        </w:rPr>
      </w:pPr>
      <w:r>
        <w:rPr>
          <w:rFonts w:ascii="Times New Roman" w:cs="Times New Roman" w:eastAsia="Times New Roman" w:hAnsi="Times New Roman"/>
          <w:sz w:val="18"/>
          <w:szCs w:val="18"/>
          <w:color w:val="auto"/>
        </w:rPr>
        <w:t>ECPs, including ophthalmologists and optometrists, have limited awareness of, and experience with, our products and brand. Our future growth and profitability largely depend on our ability to increase ECP and patient awareness of our products and on the willingness of ECPs and patients to adopt our products. ECPs may not adopt our products unless they believe they will receive appropriate compensation for such use and are able to determine, based on experience, clinical data, medical society and association recommendations and other analyses, that our products are clinically differentiated from, or otherwise preferable to, available alternatives. Even if we are able to raise awareness among ECPs, they may be slow to change their medical treatment practices and may be hesitant to select our products for a variety of reasons, including:</w:t>
      </w:r>
    </w:p>
    <w:p>
      <w:pPr>
        <w:spacing w:after="0" w:line="187" w:lineRule="exact"/>
        <w:rPr>
          <w:sz w:val="20"/>
          <w:szCs w:val="20"/>
          <w:color w:val="auto"/>
        </w:rPr>
      </w:pPr>
    </w:p>
    <w:p>
      <w:pPr>
        <w:ind w:left="800" w:right="1120" w:hanging="283"/>
        <w:spacing w:after="0" w:line="28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equitable third-party payor coverage or reimbursement, or changes in (or new) third-party payor coverage or reimbursement policies or determinations that are materially adverse to the Company's interest;</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and concerns that we are relatively new to market;</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 generally associated with the use of new products and treatment options;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201" w:right="399" w:bottom="1440" w:gutter="0" w:footer="0" w:header="0"/>
        </w:sectPr>
      </w:pPr>
    </w:p>
    <w:bookmarkStart w:id="30" w:name="page31"/>
    <w:bookmarkEnd w:id="30"/>
    <w:p>
      <w:pPr>
        <w:ind w:left="800" w:right="1560" w:hanging="283"/>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sufficient clinical evidence, including long-term data, supporting clinical benefits or the cost-effectiveness of our products over existing treatments;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key ophthalmologist and optometrist leaders to support and recommend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that our products are unproven;</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ECPs’ long-standing relationships with companies, distributors and salespeople that sell competing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activities, including new product introductions and negative selling efforts from providers of alternative treatments;</w:t>
      </w:r>
    </w:p>
    <w:p>
      <w:pPr>
        <w:spacing w:after="0" w:line="117" w:lineRule="exact"/>
        <w:rPr>
          <w:rFonts w:ascii="Times New Roman" w:cs="Times New Roman" w:eastAsia="Times New Roman" w:hAnsi="Times New Roman"/>
          <w:sz w:val="18"/>
          <w:szCs w:val="18"/>
          <w:color w:val="auto"/>
        </w:rPr>
      </w:pPr>
    </w:p>
    <w:p>
      <w:pPr>
        <w:ind w:left="800" w:right="900" w:hanging="283"/>
        <w:spacing w:after="0" w:line="266"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of integrating TearCare into established ophthalmologic and optometric practices in light of ECP practice patterns and preferences, lack of awareness of our TearCare system and its capabilities, and lack of appropriate, equitable reimbursement for procedures involving our TearCare system; and</w:t>
      </w:r>
    </w:p>
    <w:p>
      <w:pPr>
        <w:spacing w:after="0" w:line="67" w:lineRule="exact"/>
        <w:rPr>
          <w:rFonts w:ascii="Times New Roman" w:cs="Times New Roman" w:eastAsia="Times New Roman" w:hAnsi="Times New Roman"/>
          <w:sz w:val="18"/>
          <w:szCs w:val="18"/>
          <w:color w:val="auto"/>
        </w:rPr>
      </w:pPr>
    </w:p>
    <w:p>
      <w:pPr>
        <w:ind w:left="800" w:right="740" w:hanging="283"/>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regarding the time commitment and skill development that may be required to gain familiarity and proficiency with our OMNI and TearCare products.</w:t>
      </w:r>
    </w:p>
    <w:p>
      <w:pPr>
        <w:spacing w:after="0" w:line="162"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To effectively market and sell our products, we will need to continue to educate the medical community about the safety, efficacy, necessity and efficiency of our products and about the patient populations that would potentially benefit from the use of our products. For example, if first-line ECPs or primary care physicians that serve as the early point of contact for patients are not made aware of our OMNI products, they may not refer patients to ECPs who utilize our products, and those patients may be treated with alternative procedures or treatments. In addition, some physicians may choose to utilize our products on only a subset of their total patient population or may not adopt our products at all. Further, if we are unable to obtain or maintain favorable third-party reimbursement coverage of procedures in which our products are used, particularly as compared to competitive products, adoption of our products by ECPs and patients will suffer. We cannot assure you that our products will achieve broad market acceptance among payors, physicians and patients. Any failure of our products to satisfy demand or to achieve meaningful market acceptance and penetration will harm our future prospects and have a material adverse effect on our business, financial condition and results of operations.</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incrementally secure or maintain adequate levels of third-party coverage and reimbursement for procedures in which our Surgical Glaucoma or Dry Eye products are used, and third parties may rescind or modify their coverage or delay payments related to these products, which will adversely affect our business, financial condition, and results of operations.</w:t>
      </w:r>
    </w:p>
    <w:p>
      <w:pPr>
        <w:spacing w:after="0" w:line="67" w:lineRule="exact"/>
        <w:rPr>
          <w:sz w:val="20"/>
          <w:szCs w:val="20"/>
          <w:color w:val="auto"/>
        </w:rPr>
      </w:pPr>
    </w:p>
    <w:p>
      <w:pPr>
        <w:ind w:right="120" w:firstLine="419"/>
        <w:spacing w:after="0" w:line="255" w:lineRule="auto"/>
        <w:rPr>
          <w:sz w:val="20"/>
          <w:szCs w:val="20"/>
          <w:color w:val="auto"/>
        </w:rPr>
      </w:pPr>
      <w:r>
        <w:rPr>
          <w:rFonts w:ascii="Times New Roman" w:cs="Times New Roman" w:eastAsia="Times New Roman" w:hAnsi="Times New Roman"/>
          <w:sz w:val="18"/>
          <w:szCs w:val="18"/>
          <w:color w:val="auto"/>
        </w:rPr>
        <w:t>We derive revenue from sales of OMNI and SION to physicians, ASCs, and HOPDs, which typically bill all or a portion of the costs and fees associated with our products to various third-party payors, including Medicare, Medicaid, private commercial insurance companies, health maintenance organizations and other healthcare-related organizations, and then bill patients for any applicable deductibles or co-payments.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As a result, access to adequate coverage and reimbursement for procedures in which our Surgical Glaucoma products are used by third-party payors is essential to their acceptance and adoption by patients and ECPs.</w:t>
      </w:r>
    </w:p>
    <w:p>
      <w:pPr>
        <w:spacing w:after="0" w:line="189"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These third-party payors continually review new and existing technologies for possible coverage and can deny or reverse coverage for new or existing products and procedures, and there can be no assurance that third-party payor policies provide coverage, or will continue to provide coverage, for procedures in which OMNI or our other products are used. For example, CMS, MACs or commercial payors could issue coverage policies that could restrict or eliminate coverage for the patient populations eligible for treatment with our products or that are otherwise unfavorable to our business. In June 2023, for instance, five MACs issued the Draft LCDs, which proposed to establish or update Medicare coverage policies for MIGS. The Draft LCDs proposed to identify certain non-implantable MIGS procedures as investigational and not reasonable and necessary in the jurisdictions where these MACS administer Medicare Part B benefits, including but not limited to adult canaloplasty in combination with trabeculotomy ab interno, a procedure performed with OMNI and for which it is indicated. The Draft LCDs may also have categorized our SION technology as investigational and thus non-covered with respect to goniotomy procedures. The Draft LCDs, as amended, were published as “final” during the fourth quarter ended December 31, 2023 before being withdrawn in late December 2023, prior to becoming effective. The states served by these five MACs accounted for approximately 63% of our total Surgical Glaucoma revenue in 2022. Although</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31" w:name="page32"/>
    <w:bookmarkEnd w:id="31"/>
    <w:p>
      <w:pPr>
        <w:ind w:right="120"/>
        <w:spacing w:after="0" w:line="255" w:lineRule="auto"/>
        <w:rPr>
          <w:sz w:val="20"/>
          <w:szCs w:val="20"/>
          <w:color w:val="auto"/>
        </w:rPr>
      </w:pPr>
      <w:r>
        <w:rPr>
          <w:rFonts w:ascii="Times New Roman" w:cs="Times New Roman" w:eastAsia="Times New Roman" w:hAnsi="Times New Roman"/>
          <w:sz w:val="18"/>
          <w:szCs w:val="18"/>
          <w:color w:val="auto"/>
        </w:rPr>
        <w:t>the Draft LCDs, as amended, were withdrawn prior to becoming effective and thus did not impact the Medicare coverage policies impacting our products, these five MACs, or other MACs, may issue updated or new local coverage determinations or other coverage policies or determinations in the future that may establish a policy of Medicare non-coverage, or materially restricted coverage, for one or more of our products. Any such policies or determinations could in turn influence coverage determinations by other third-party payors. If we are not successful in reversing any proposed non-coverage policies, or if third-party payors that currently cover or reimburse procedures in which our products are used reverse or limit their coverage in the future, or if other third-party payors issue similar policies, it would have a material adverse effect on our business, financial condition, and results of operations.</w:t>
      </w:r>
    </w:p>
    <w:p>
      <w:pPr>
        <w:spacing w:after="0" w:line="189" w:lineRule="exact"/>
        <w:rPr>
          <w:sz w:val="20"/>
          <w:szCs w:val="20"/>
          <w:color w:val="auto"/>
        </w:rPr>
      </w:pPr>
    </w:p>
    <w:p>
      <w:pPr>
        <w:ind w:right="180" w:firstLine="419"/>
        <w:spacing w:after="0" w:line="253" w:lineRule="auto"/>
        <w:rPr>
          <w:sz w:val="20"/>
          <w:szCs w:val="20"/>
          <w:color w:val="auto"/>
        </w:rPr>
      </w:pPr>
      <w:r>
        <w:rPr>
          <w:rFonts w:ascii="Times New Roman" w:cs="Times New Roman" w:eastAsia="Times New Roman" w:hAnsi="Times New Roman"/>
          <w:sz w:val="18"/>
          <w:szCs w:val="18"/>
          <w:color w:val="auto"/>
        </w:rPr>
        <w:t>We also derive revenue from sales of TearCare to ECPs and eye care clinics, which bill all or a portion of the costs and fees associated with treatments and products to patients or, on a limited basis, to third-party payors. We believe that access to adequate coverage and reimbursement for procedures in which TearCare is used by third-party payors is important to the broad acceptance and adoption of TearCare. Currently, no MACs have formal policies establishing coverage for the TearCare procedure; however, MACs from time to time may include, and we are currently aware of three MACs that have included, low payment rates for TearCare procedures in their fee schedules that, if not removed or increased to what we believe is an appropriate reimbursement level, could adversely impact our efforts to achieve reimbursement for TearCare that is sufficient to support its broad commercial growth and adoption. Further, commercial payors may from time to time make “no coverage” or similar determinations with respect to our TearCare product that could hamper our efforts to drive broad commercial adoption of TearCare. We are pursuing a comprehensive long-term market development and patient access plan for TearCare and focusing our efforts on partnering with key strategic accounts to pursue prior authorization approvals and reimbursement claims for procedures in which TearCare is used, but there is no guarantee that we will be successful. If patients are not willing to pay for procedures in which TearCare is used, or if third-party payors continue to refuse to provide coverage and reimbursement, or provide insufficient levels of coverage and reimbursement, it could have a negative impact on ECPs’ adoption of TearCare and sales of TearCare, which could adversely affect our business.</w:t>
      </w:r>
    </w:p>
    <w:p>
      <w:pPr>
        <w:spacing w:after="0" w:line="187"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Obtaining and maintaining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 With regard to our international sales efforts, even if and as we succeed in bringing our products to market in foreign countries, uncertainties regarding future healthcare policy, legislation and regulation, as well as private market practices, could affect our ability to sell our products in commercially acceptable quantities at acceptable prices.</w:t>
      </w:r>
    </w:p>
    <w:p>
      <w:pPr>
        <w:spacing w:after="0" w:line="192" w:lineRule="exact"/>
        <w:rPr>
          <w:sz w:val="20"/>
          <w:szCs w:val="20"/>
          <w:color w:val="auto"/>
        </w:rPr>
      </w:pPr>
    </w:p>
    <w:p>
      <w:pPr>
        <w:ind w:right="80" w:firstLine="419"/>
        <w:spacing w:after="0" w:line="252" w:lineRule="auto"/>
        <w:rPr>
          <w:sz w:val="20"/>
          <w:szCs w:val="20"/>
          <w:color w:val="auto"/>
        </w:rPr>
      </w:pPr>
      <w:r>
        <w:rPr>
          <w:rFonts w:ascii="Times New Roman" w:cs="Times New Roman" w:eastAsia="Times New Roman" w:hAnsi="Times New Roman"/>
          <w:sz w:val="18"/>
          <w:szCs w:val="18"/>
          <w:color w:val="auto"/>
        </w:rPr>
        <w:t>In the United States, the AMA generally assigns specific billing codes for procedures under a coding system known as Current Procedure Terminology, or CPT, which surgeons use to bill third-party payors and receive reimbursement. Once a permanent CPT code ("Category I CPT code") is established for a service, CMS establishes payment levels under Medicare, while other payors may establish rates and coverage rules independently. Canaloplasty followed by trabeculotomy procedures using OMNI are typically billed using the Category I CPT code 66174, which describes canaloplasty. Coding for ophthalmic surgical procedures is complex, and changes to the codes used to report services performed with our products may result in significant changes in reimbursement, which could negatively impact our revenue. For example, in 2021 the RVS Update Committee ("RUC") of the AMA reevaluated the physician work associated with CPT code 66174. As a result of this RUC review and further conversion factor reductions, CMS reduced the Medicare Physician Fee Schedule amount associated with this service from approximately $950 in 2021, to $761 in 2022, to $622 in 2023, and to $608 in 2024. Many of the factors considered by the RUC, and many of the factors evaluated by payors and other payor advisory bodies, in assessing the costs of, and payments with respect to, procedures associated with our products are not within our control. For instance, with respect to determination of hospital, ASC and physician payment associated with CPT code 66174, evaluation of procedure costs may include the costs of competitive products that are priced well below our products, and may also reflect reduced physician work with respect to procedures that are less comprehensive than the procedures performed with OMNI. This, in turn, may adversely affect our ability to obtain and maintain adequate and appropriate levels of reimbursement for the comprehensive procedure enabled by our OMNI technology, which could adversely affect our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32" w:name="page33"/>
    <w:bookmarkEnd w:id="32"/>
    <w:p>
      <w:pPr>
        <w:ind w:firstLine="419"/>
        <w:spacing w:after="0" w:line="256" w:lineRule="auto"/>
        <w:rPr>
          <w:sz w:val="20"/>
          <w:szCs w:val="20"/>
          <w:color w:val="auto"/>
        </w:rPr>
      </w:pPr>
      <w:r>
        <w:rPr>
          <w:rFonts w:ascii="Times New Roman" w:cs="Times New Roman" w:eastAsia="Times New Roman" w:hAnsi="Times New Roman"/>
          <w:sz w:val="18"/>
          <w:szCs w:val="18"/>
          <w:color w:val="auto"/>
        </w:rPr>
        <w:t>The AMA maintains a subset of temporary CPT codes ("Category III CPT codes") used for new and emerging technologies. For example, TearCare was assigned a Category III CPT code effective beginning January 1, 2020. Coverage for Category III CPT codes is often limited. Medicare does not generally establish national payment rates for Category III CPT codes on the Medicare Physician Fee Schedule ("MPFS"). As a result, individual Medicare contractors and private payors may establish their own payment rates for services described by Category III CPT codes, as has been the case with TearCare, which payment rates are subject to change, may be variable across Medicare contractors, may be materially below the final reimbursement rates that we are currently targeting, or may determine not to reimburse services described by Category III CPT codes.</w:t>
      </w:r>
    </w:p>
    <w:p>
      <w:pPr>
        <w:spacing w:after="0" w:line="187" w:lineRule="exact"/>
        <w:rPr>
          <w:sz w:val="20"/>
          <w:szCs w:val="20"/>
          <w:color w:val="auto"/>
        </w:rPr>
      </w:pPr>
    </w:p>
    <w:p>
      <w:pPr>
        <w:ind w:right="120" w:firstLine="419"/>
        <w:spacing w:after="0" w:line="255" w:lineRule="auto"/>
        <w:rPr>
          <w:sz w:val="20"/>
          <w:szCs w:val="20"/>
          <w:color w:val="auto"/>
        </w:rPr>
      </w:pPr>
      <w:r>
        <w:rPr>
          <w:rFonts w:ascii="Times New Roman" w:cs="Times New Roman" w:eastAsia="Times New Roman" w:hAnsi="Times New Roman"/>
          <w:sz w:val="18"/>
          <w:szCs w:val="18"/>
          <w:color w:val="auto"/>
        </w:rPr>
        <w:t>Further, we believe that future coverage and reimbursement may be subject to increased restrictions, such as additional prior authorization requirements, both in the United States and in international markets. Third-party coverage and reimbursement for procedures using our products or any of our products in development for which we may receive regulatory clearance, certification or approval may not be available or adequate in either the United States or international markets. Further, other devices or treatments that compete with our products may be more widely covered or subject to different co-pay policies and requirements, which could impact demand for our products. If hospital, surgical center, ECP and/or patient demand for our products is adversely affected by third-party reimbursement policies and decisions, it could have a material adverse effect on our business, financial condition and results of operations.</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products is highly competitive. Our competitors may have longer operating histories, more established products and greater resources than we do, and may be able to develop or market treatments that are safer, more effective or gain greater acceptance in the marketplace than our products.</w:t>
      </w:r>
    </w:p>
    <w:p>
      <w:pPr>
        <w:spacing w:after="0" w:line="67" w:lineRule="exact"/>
        <w:rPr>
          <w:sz w:val="20"/>
          <w:szCs w:val="20"/>
          <w:color w:val="auto"/>
        </w:rPr>
      </w:pPr>
    </w:p>
    <w:p>
      <w:pPr>
        <w:ind w:right="40" w:firstLine="419"/>
        <w:spacing w:after="0" w:line="253" w:lineRule="auto"/>
        <w:rPr>
          <w:sz w:val="20"/>
          <w:szCs w:val="20"/>
          <w:color w:val="auto"/>
        </w:rPr>
      </w:pPr>
      <w:r>
        <w:rPr>
          <w:rFonts w:ascii="Times New Roman" w:cs="Times New Roman" w:eastAsia="Times New Roman" w:hAnsi="Times New Roman"/>
          <w:sz w:val="18"/>
          <w:szCs w:val="18"/>
          <w:color w:val="auto"/>
        </w:rPr>
        <w:t>The medical device industry is highly competitive, subject to rapid change and significantly affected by the introduction of new products and technologies and the other activities of industry participants. We compete, or plan to compete, with medical device and pharmaceutical companies that develop and commercialize products for eye conditions, including Glaukos, AbbVie/Allergan, Novartis, Alcon, Johnson &amp; Johnson, Nova Eye Medical, and New World Medical. These companies, or other entrants into the market, may have or develop competing technologies, other products that are in or that enter clinical trials, new devices or additional indications for existing devices that could demonstrate better safety, effectiveness, clinical results, lower costs or greater ECP and market acceptance than our products. For example, despite what we believe to be the strong safety profile of our products for their intended uses, patients may experience adverse events following canaloplasty or trabeculotomy with OMNI, including, but not limited to, hyphema, mild anterior chamber inflammation and spikes in intraocular pressure. Similarly, patients may experience adverse events following use of the SION surgical instrument, including anterior chamber shallowing and prolonged, or persistent intraocular inflammation, or application of localized heat with TearCare, including discomfort, pain or erythema of the eyelids. Any failure to meet customer and patient expectations and any resulting negative perceptions or publicity could harm our reputation and future sales and therefore adversely affect our business, financial condition and results of operations.</w:t>
      </w:r>
    </w:p>
    <w:p>
      <w:pPr>
        <w:spacing w:after="0" w:line="190" w:lineRule="exact"/>
        <w:rPr>
          <w:sz w:val="20"/>
          <w:szCs w:val="20"/>
          <w:color w:val="auto"/>
        </w:rPr>
      </w:pPr>
    </w:p>
    <w:p>
      <w:pPr>
        <w:ind w:right="320" w:firstLine="419"/>
        <w:spacing w:after="0" w:line="266" w:lineRule="auto"/>
        <w:rPr>
          <w:sz w:val="20"/>
          <w:szCs w:val="20"/>
          <w:color w:val="auto"/>
        </w:rPr>
      </w:pPr>
      <w:r>
        <w:rPr>
          <w:rFonts w:ascii="Times New Roman" w:cs="Times New Roman" w:eastAsia="Times New Roman" w:hAnsi="Times New Roman"/>
          <w:sz w:val="18"/>
          <w:szCs w:val="18"/>
          <w:color w:val="auto"/>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spacing w:after="0" w:line="176" w:lineRule="exact"/>
        <w:rPr>
          <w:sz w:val="20"/>
          <w:szCs w:val="20"/>
          <w:color w:val="auto"/>
        </w:rPr>
      </w:pPr>
    </w:p>
    <w:p>
      <w:pPr>
        <w:jc w:val="both"/>
        <w:ind w:left="800" w:right="700" w:hanging="283"/>
        <w:spacing w:after="0" w:line="266" w:lineRule="auto"/>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treatment patterns pursuant to which prescription medications, traditional glaucoma surgery or more conventional MIGS procedures are generally first-line therapies for the treatment of glaucoma and eye drops or warm-compresses are first-line therapies for the treatment of MGD;</w:t>
      </w:r>
    </w:p>
    <w:p>
      <w:pPr>
        <w:spacing w:after="0" w:line="6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ECPs who are familiar with their products and procedures for the treatment of glaucoma or MGD;</w:t>
      </w:r>
    </w:p>
    <w:p>
      <w:pPr>
        <w:spacing w:after="0" w:line="117" w:lineRule="exact"/>
        <w:rPr>
          <w:rFonts w:ascii="Times New Roman" w:cs="Times New Roman" w:eastAsia="Times New Roman" w:hAnsi="Times New Roman"/>
          <w:sz w:val="18"/>
          <w:szCs w:val="18"/>
          <w:color w:val="auto"/>
        </w:rPr>
      </w:pPr>
    </w:p>
    <w:p>
      <w:pPr>
        <w:ind w:left="800" w:right="740" w:hanging="283"/>
        <w:spacing w:after="0" w:line="282" w:lineRule="auto"/>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key stakeholders, including hospital outpatient departments, ambulatory surgery centers, optometrists and ophthalmologists, general practitioners and administrators;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capital resources;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33" w:name="page34"/>
    <w:bookmarkEnd w:id="33"/>
    <w:p>
      <w:pPr>
        <w:ind w:left="800" w:right="1100" w:hanging="283"/>
        <w:spacing w:after="0" w:line="282" w:lineRule="auto"/>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or bundle products to offer greater discounts or incentives to gain a competitive advantage; and</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sales, marketing and worldwide distribution networks.</w:t>
      </w:r>
    </w:p>
    <w:p>
      <w:pPr>
        <w:spacing w:after="0" w:line="225"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One of the major hurdles to adoption of our products will be overcoming established treatment patterns, which will require educating ECPs and supportive clinical data. However, because of the size of the market opportunity for devices used in procedures to address MIGS and MGD, we believe current and potential future competitors will dedicate significant resources to aggressively promote their products or develop new products or treatments, such as Glaukos’ iStent® technologies, iPRIME™ Viscodelivery System, and iDose® TR intraocular implant. Further, new treatment options may be developed that could compete more effectively with our products due to the prevalence of glaucoma and MGD, and the research and technological progress that exist within the market. Also, even if competitor products do not have indications for use or clinical data that are comparable to ours, ECPs can still choose these competitor products for a variety of reasons, including those set forth above. For instance, competitors may seek to bundle their products in a manner that is attractive to ECPs, which may result in decreased use or adoption of our products by ECPs, notwithstanding that our products may offer superior efficacy.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our products depends upon appropriate physician training, practice and patient selection.</w:t>
      </w:r>
    </w:p>
    <w:p>
      <w:pPr>
        <w:spacing w:after="0" w:line="12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The success of our products depends in part on the skill of the ECPs utilizing and administering products to treat patients and on their adherence to our stated patient selection criteria and the proper techniques that we provide in training sessions. We train ECPs on the correct use of OMNI and SION. However, ECPs rely on their previous medical training and experience when performing ophthalmic surgical procedures and may deviate from the techniques we provide in training sessions. Furthermore, we cannot guarantee that all such ECPs who use OMNI and SION will have the necessary skills or experience to safely and effectively perform these procedures. Similarly, though we train ECPs to ensure correct use of TearCare, including placement of SmartLids on patients’ eyelids and expression of the patients' meibomian glands, we cannot guarantee that all such ECPs will have the necessary skills or experience to safely and effectively use these devices. If ECPs utilize our products in a manner that is inconsistent with our labeled indications or with components that are not part of our products, the patient outcomes may be negative. This could negatively impact the perception of patient benefits and safety associated with our products and limit their adoption, which would have a material adverse effect on our business, financial condition and results of operations.</w:t>
      </w:r>
    </w:p>
    <w:p>
      <w:pPr>
        <w:spacing w:after="0" w:line="19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Development of our products for expanded indications depends upon positive clinical data, and the safety and efficacy of our products for the intended uses for which we intend to seek clearance, certification or approval are not yet supported by long-term clinical data, which could delay or prevent clearance by the FDA (or other foreign authorities or notified bodies) or limit sales if cleared, certified or approved and our products might therefore prove to be less safe or effective than initially thought.</w:t>
      </w:r>
    </w:p>
    <w:p>
      <w:pPr>
        <w:spacing w:after="0" w:line="72"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auto"/>
        </w:rPr>
        <w:t>We are conducting and intend to continue conducting additional clinical trials or investigations to develop our devices for expanded indications. Historical clinical results, including interim results, are not necessarily predictive of future clinical results, and we cannot assure you that the results reported in these studies will be consistent with, or better than, currently available clinical data. Moreover, the outcomes and updates resulting from these studies, including interim results, may be compared to the results of other products and treatments for these same patient populations, and if the comparisons are not favorable, it may limit the ability to obtain clearance, certification or approval of the devices for the expanded indications for which we intend to seek clearance, certification or approval, as well as adoption of our products for their current authorized uses. In addition, our competitors and other third parties may also conduct clinical trials or investigations of our products without our participation. Unfavorable or inconsistent clinical data from existing or future clinical trials or investigations conducted by us, our competitors or other third parties, the interpretation of our clinical data or findings of new or more frequent adverse events, could subject us to mandatory or voluntary product recalls, suspension or withdrawal of FDA or other clearance, certification or approval, significant legal liability or harm to our business reputation and could have a material adverse effect on our business, financial condition and results of operations.</w:t>
      </w:r>
    </w:p>
    <w:p>
      <w:pPr>
        <w:spacing w:after="0" w:line="192" w:lineRule="exact"/>
        <w:rPr>
          <w:sz w:val="20"/>
          <w:szCs w:val="20"/>
          <w:color w:val="auto"/>
        </w:rPr>
      </w:pPr>
    </w:p>
    <w:p>
      <w:pPr>
        <w:ind w:right="140" w:firstLine="419"/>
        <w:spacing w:after="0" w:line="258" w:lineRule="auto"/>
        <w:rPr>
          <w:sz w:val="20"/>
          <w:szCs w:val="20"/>
          <w:color w:val="auto"/>
        </w:rPr>
      </w:pPr>
      <w:r>
        <w:rPr>
          <w:rFonts w:ascii="Times New Roman" w:cs="Times New Roman" w:eastAsia="Times New Roman" w:hAnsi="Times New Roman"/>
          <w:sz w:val="18"/>
          <w:szCs w:val="18"/>
          <w:color w:val="auto"/>
        </w:rPr>
        <w:t>Our products will be adopted and compete, in part, based on long-term data regarding patient outcomes and the risk of our products relative to other treatment options. The long-term clinical outcomes of the use of our products for their cleared uses are not known and, due to the novelty of our products, there is no long-term data regarding patient outcomes beyond our clinical trials or investigations. The results of short-term clinical experience of our products do not necessarily predict long-term clinical outcomes. We believe that ECPs will compare the rates of long-term clinical outcomes for procedures using our products for their authorized uses against alternative procedures and treatment options. If the long-term data does</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34" w:name="page35"/>
    <w:bookmarkEnd w:id="34"/>
    <w:p>
      <w:pPr>
        <w:ind w:right="40"/>
        <w:spacing w:after="0" w:line="266" w:lineRule="auto"/>
        <w:rPr>
          <w:sz w:val="20"/>
          <w:szCs w:val="20"/>
          <w:color w:val="auto"/>
        </w:rPr>
      </w:pPr>
      <w:r>
        <w:rPr>
          <w:rFonts w:ascii="Times New Roman" w:cs="Times New Roman" w:eastAsia="Times New Roman" w:hAnsi="Times New Roman"/>
          <w:sz w:val="18"/>
          <w:szCs w:val="18"/>
          <w:color w:val="auto"/>
        </w:rPr>
        <w:t>not meet ECPs’ expectations, or if the long-term data indicates that our products are not as safe or effective as other treatment options or as current short-term data would suggest, physicians may recommend alternative treatments for their patients and our products may not become widely adopted, which will negatively affect our business, financial condition and results of operations.</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and supply our products, many of which are single-source providers, and we are subject to numerous risks relating to our reliance on third parties.</w:t>
      </w:r>
    </w:p>
    <w:p>
      <w:pPr>
        <w:spacing w:after="0" w:line="5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Our business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We do not have any internal manufacturing capabilities or infrastructure and rely on a limited number of third-party manufacturers, many of which are single source suppliers, for a portion of the components, accessories, materials and assembly that we utilize in our products. These items are critical and, for certain items, there are relatively few or no readily available alternative sources of supply. These single source suppliers may be unwilling or unable to supply these items reliably and at the levels we anticipate or that are required by the market. For example, our OMNI and SION products, and certain of our TearCare system components, are primarily produced and assembled by a single Taiwan-based manufacturer in China, though we have also contracted with a U.S.-based manufacturer to produce and assemble OMNI products. We also have supply arrangements with other suppliers for the production of certain TearCare system components. For our business strategy to be successful, our suppliers must be able to provide us with products in sufficient quantities, in compliance with regulatory requirements, including the FDA’s QSR or other applicable laws or regulations enforced by the FDA, state and foreign regulatory authorities, in accordance with agreed-upon specifications, at acceptable costs and on a timely basis.</w:t>
      </w:r>
    </w:p>
    <w:p>
      <w:pPr>
        <w:spacing w:after="0" w:line="192"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While our suppliers have generally met our demand requirements on a timely basis in the past, their ability and willingness to continue to do so going forward may be limited for several reasons, including financial difficulties, damage to their manufacturing equipment or facilities, inability to obtain components, problems with their own suppliers, our relative importance as a customer to each manufacturer, or geopolitical or trade tensions between China and Taiwan or China and the United States. If we are unable to meet our demand requirements on a timely basis, we may not have a sufficient number of our products available for delivery to support ECPs that utilize our products as part of their treatment. For instance, if our supply of OMNI products from our manufacturer in China was interrupted or suspended for any significant period, we may be unable to meet customer demand for our OMNI products during that time. Any shortfall in the supply of products may result in lower adoption and usage rates of our products and have a material adverse effect on our business, financial condition and results of operations.</w:t>
      </w:r>
    </w:p>
    <w:p>
      <w:pPr>
        <w:spacing w:after="0" w:line="192" w:lineRule="exact"/>
        <w:rPr>
          <w:sz w:val="20"/>
          <w:szCs w:val="20"/>
          <w:color w:val="auto"/>
        </w:rPr>
      </w:pPr>
    </w:p>
    <w:p>
      <w:pPr>
        <w:ind w:right="120" w:firstLine="419"/>
        <w:spacing w:after="0" w:line="256" w:lineRule="auto"/>
        <w:rPr>
          <w:sz w:val="20"/>
          <w:szCs w:val="20"/>
          <w:color w:val="auto"/>
        </w:rPr>
      </w:pPr>
      <w:r>
        <w:rPr>
          <w:rFonts w:ascii="Times New Roman" w:cs="Times New Roman" w:eastAsia="Times New Roman" w:hAnsi="Times New Roman"/>
          <w:sz w:val="18"/>
          <w:szCs w:val="18"/>
          <w:color w:val="auto"/>
        </w:rPr>
        <w:t>The process of identifying and qualifying alternative manufacturing facilities for any other reason could be time-consuming and expensive, may result in interruptions in our operations and product delivery, and could affect the performance specifications of our products. We cannot assure you that we will be able to identify and engage alternative contract manufacturers on terms similar to our current arrangements, or without delay. Furthermore, our contract manufacturers could require that their manufacture and assembly of our products be moved to another of their production facilities. The occurrence of any of these events could harm our ability to meet the demand for our products in a timely and cost-effective manner, which could have a material adverse effect on our business, financial condition and results of operations.</w:t>
      </w:r>
    </w:p>
    <w:p>
      <w:pPr>
        <w:spacing w:after="0" w:line="187" w:lineRule="exact"/>
        <w:rPr>
          <w:sz w:val="20"/>
          <w:szCs w:val="20"/>
          <w:color w:val="auto"/>
        </w:rPr>
      </w:pPr>
    </w:p>
    <w:p>
      <w:pPr>
        <w:ind w:right="100" w:firstLine="419"/>
        <w:spacing w:after="0" w:line="253" w:lineRule="auto"/>
        <w:rPr>
          <w:sz w:val="20"/>
          <w:szCs w:val="20"/>
          <w:color w:val="auto"/>
        </w:rPr>
      </w:pPr>
      <w:r>
        <w:rPr>
          <w:rFonts w:ascii="Times New Roman" w:cs="Times New Roman" w:eastAsia="Times New Roman" w:hAnsi="Times New Roman"/>
          <w:sz w:val="18"/>
          <w:szCs w:val="18"/>
          <w:color w:val="auto"/>
        </w:rPr>
        <w:t>We are also subject to numerous other risks relating to our reliance on third parties, including potential quality issues at our suppliers' manufacturing facilities with respect to our products, and our potential inability to renew or extend contracts and arrangements with such third parties or renew any such contracts or arrangements on terms that are favorable to us, and price fluctuations due to a lack of long-term supply agreements with certain of our suppliers. These risks are likely to be exacerbated by our limited experience with our current products and manufacturing processes. As demand for our products increases, we will have to invest additional resources to manage the manufacturing process. If we fail to secure increased production capacity efficiently, we may not be able to fill customer orders on a timely basis, our sales may not increase in line with our expectations and our operating margins could fluctuate or decline. In addition, the manufacture of future products may require modification of the current production processes or unique production processes, the identification of new suppliers for specific components, sub-assemblies and materials or the development of new manufacturing technologies. It may not be possible for our current third-party manufacturers to produce these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35" w:name="page36"/>
    <w:bookmarkEnd w:id="35"/>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in current global economic and political conditions could adversely affect our ability to predict product demand and impact our financial results, and makes it more likely that our actual results could differ materially from expectations.</w:t>
      </w:r>
    </w:p>
    <w:p>
      <w:pPr>
        <w:spacing w:after="0" w:line="51" w:lineRule="exact"/>
        <w:rPr>
          <w:sz w:val="20"/>
          <w:szCs w:val="20"/>
          <w:color w:val="auto"/>
        </w:rPr>
      </w:pPr>
    </w:p>
    <w:p>
      <w:pPr>
        <w:ind w:right="80" w:firstLine="419"/>
        <w:spacing w:after="0" w:line="253" w:lineRule="auto"/>
        <w:rPr>
          <w:sz w:val="20"/>
          <w:szCs w:val="20"/>
          <w:color w:val="auto"/>
        </w:rPr>
      </w:pPr>
      <w:r>
        <w:rPr>
          <w:rFonts w:ascii="Times New Roman" w:cs="Times New Roman" w:eastAsia="Times New Roman" w:hAnsi="Times New Roman"/>
          <w:sz w:val="18"/>
          <w:szCs w:val="18"/>
          <w:color w:val="auto"/>
        </w:rPr>
        <w:t>Our operations and performance depend in part on worldwide economic and political conditions. Certain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safety and efficacy of some of our products is not yet supported by long-term clinical data, which could limit sales, and our products might therefore prove to be less safe or effective than initially thought.</w:t>
      </w:r>
    </w:p>
    <w:p>
      <w:pPr>
        <w:spacing w:after="0" w:line="51"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The products that we market in the United States are regulated as medical devices by the FDA. OMNI and TearCare have received premarket clearance under Section 510(k) of the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application and later down-classified, or a 510(k)-exempt device. This process is typically shorter and generally requires the submission of less supporting documentation than the FDA’s PMA process and does not always require long-term clinical studies. SION is registered with the FDA as a Class I 510(k) exempt device.</w:t>
      </w:r>
    </w:p>
    <w:p>
      <w:pPr>
        <w:spacing w:after="0" w:line="189"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In the EEA Union, a single regulatory approval process exists, and conformity with its requirements is required to affix a CE mark to our medical devices, without which they cannot be marketed or sold in the EEA. We originally received CE marking for OMNI in 2017. To obtain a CE mark, defined products must meet minimum standards of performance, safety, and quality, and then, according to their classification, undergo a conformity assessment procedure. Except for low risk medical devices, a conformity assessment procedure requires the intervention of a third-party organization designated by the competent authorities of an EEA country, known as a Notified Body. The competent authorities of the EU countries separately regulate the clinical research for medical devices and the market surveillance of products once they are placed on the market. A revised regulation, the EU MDR was published by the EU in 2017 and became effective on May 26, 2021. Medical devices marketed in the EEA require certification according to these requirements. The EU MDR includes significant additional premarket and post-market requirements, and manufacturers of medical devices are required by the EU MDR to collect post-marketing clinical data in relation to their CE marked medical devices. Post-market surveillance includes the conduct of post-market clinical follow-up studies permitting manufacturers to gather information concerning quality, safety or performance of medical devices after they have been placed on the market in the EU. All information collected as part of the post-market surveillance process must be reviewed, investigated and analyzed on a regular basis in order to determine whether trending conclusions can be made concerning the safety or performance of the medical device and decisions must be taken in relation to the continued marketing of medical devices currently on the market. We expect to incur ongoing costs to comply with these post-market clinical obligations in EU markets for so long as we continue to market and sell products in those markets, as well as in the EEA markets.</w:t>
      </w:r>
    </w:p>
    <w:p>
      <w:pPr>
        <w:spacing w:after="0" w:line="196"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We are conducting and intend to continue conducting additional clinical trials, including clinical trials to increase clinical evidence for OMNI and develop TearCare for expanded indications. In addition, our competitors and other third parties may conduct clinical trials of our products without our participation. If future patient studies or clinical testing do not support our belief that our products are advantageous for their intended uses, market acceptance of our products could fail to increase or could decrease and our business could be harmed. Moreover, if future results and experience by us, our competitors or other third parties, indicate that our products cause unexpected or serious complications or other unforeseen negative effects, we could be subject to mandatory or voluntary product recalls, suspension or withdrawal of FDA, European Commission or other governmental clearance or approval or certifications, significant legal liability or harm to</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89"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our business reputation, which could have a material adverse effect on our business, financial condition and results of operations.</w:t>
      </w:r>
    </w:p>
    <w:p>
      <w:pPr>
        <w:spacing w:after="0" w:line="225" w:lineRule="exact"/>
        <w:rPr>
          <w:sz w:val="20"/>
          <w:szCs w:val="20"/>
          <w:color w:val="auto"/>
        </w:rPr>
      </w:pPr>
    </w:p>
    <w:p>
      <w:pPr>
        <w:ind w:right="180" w:firstLine="419"/>
        <w:spacing w:after="0" w:line="258" w:lineRule="auto"/>
        <w:rPr>
          <w:sz w:val="20"/>
          <w:szCs w:val="20"/>
          <w:color w:val="auto"/>
        </w:rPr>
      </w:pPr>
      <w:r>
        <w:rPr>
          <w:rFonts w:ascii="Times New Roman" w:cs="Times New Roman" w:eastAsia="Times New Roman" w:hAnsi="Times New Roman"/>
          <w:sz w:val="18"/>
          <w:szCs w:val="18"/>
          <w:color w:val="auto"/>
        </w:rPr>
        <w:t>We believe that ECPs will compare the rates of long-term clinical outcomes for procedures using our products for their authorized uses against alternative procedures and treatment options. If we choose to, or are required to, conduct additional studies, equivocal or unfavorable results from such studies or experience could lead to a reduction in the rate of coverage and reimbursement by both public and private third-party payors for procedures that are performed with our products, slow market adoption of our products by ECPs, significantly reduce our ability to achieve expected revenues and prevent us from being profitable.</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training on, and marketing and selling, our products and we may provide inadequate training, fail to increase our sales and marketing capabilities or fail to develop broad brand awareness in a cost-effective manner.</w:t>
      </w:r>
    </w:p>
    <w:p>
      <w:pPr>
        <w:spacing w:after="0" w:line="5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We have limited experience marketing and selling our products. In the United States, we currently rely on our direct sales force and any failure to maintain and grow our sales force could harm our business. In Europe, we currently rely on a combination of direct sales personnel and independent distributors to sell our OMNI product, and we intend to grow our international sales through a combination of direct and distributor sales. In order to generate future growth, we plan to continue to significantly expand and leverage our commercial infrastructure to increase our customer base and increase adoption by existing customers to drive our growth. Identifying and recruiting qualified sales and marketing professionals and training them on our products, on applicable federal and state laws and regulations and on our internal policies and procedures requires significant time, expense and attention. Our direct sales force may subject us to higher fixed costs than those of companies with competing products or treatments that rely more heavily on independent third parties, placing us at a competitive disadvantage. Our business may be harmed if our efforts to expand and train our sales force and distribution chain do not generate a corresponding increase in product sales and revenue, and our higher fixed costs may slow our ability to reduce costs in the face of a sudden decline in demand for our products. Any failure to hire, develop and retain effective sales personnel, to identify and train distributors and independent sales representatives in targeted international territories, to achieve desired productivity levels in a reasonable period of time or timely reduce fixed costs, could have a material adverse effect on our business, financial condition and results of operations.</w:t>
      </w:r>
    </w:p>
    <w:p>
      <w:pPr>
        <w:spacing w:after="0" w:line="190"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will depend, to a significant extent, on our ability to expand our sales and marketing and educational efforts. We plan to dedicate significant resources to our sales and marketing initiatives, and educational programs through leading medical publications and at large industry and scientific meetings, both directly and through key opinion leaders. Our business may be harmed if these efforts and expenditures do not generate a corresponding increase in revenue. In addition, we believe that developing and maintaining broad awareness of our brand in a cost-effective manner is critical to achieving broad acceptance of our products and reaching new ECPs and patients. Brand promotion activities may not impact ECP or patient awareness or increase revenue, and even if they do, any increase in revenue may not offset the costs and expenses we incur in building our brand. If we fail to successfully promote, maintain and protect our brand, we may fail to attract or retain the market acceptance necessary to realize a sufficient return on our brand building efforts, or to achieve the level of brand awareness that is an important factor for the broad adoption of our products.</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are designed to be used in a limited number of procedures, and there is a limited total addressable market for our products. The sizes of the potential and actual markets for our current products have not been established with precision and may be smaller than we estimate.</w:t>
      </w:r>
    </w:p>
    <w:p>
      <w:pPr>
        <w:spacing w:after="0" w:line="51" w:lineRule="exact"/>
        <w:rPr>
          <w:sz w:val="20"/>
          <w:szCs w:val="20"/>
          <w:color w:val="auto"/>
        </w:rPr>
      </w:pPr>
    </w:p>
    <w:p>
      <w:pPr>
        <w:ind w:right="160" w:firstLine="419"/>
        <w:spacing w:after="0" w:line="261" w:lineRule="auto"/>
        <w:rPr>
          <w:sz w:val="20"/>
          <w:szCs w:val="20"/>
          <w:color w:val="auto"/>
        </w:rPr>
      </w:pPr>
      <w:r>
        <w:rPr>
          <w:rFonts w:ascii="Times New Roman" w:cs="Times New Roman" w:eastAsia="Times New Roman" w:hAnsi="Times New Roman"/>
          <w:sz w:val="18"/>
          <w:szCs w:val="18"/>
          <w:color w:val="auto"/>
        </w:rPr>
        <w:t>We currently market our OMNI device for use in the U.S. and select European geographies for canaloplasty followed by trabeculotomy to reduce intraocular pressure in adult patients with POAG. POAG is the most prevalent form of glaucoma and affects approximately 4.5 million people in the United States and almost 70 million people worldwide. We currently market our SION device in the United States for use in ophthalmic surgical procedures to excise trabecular meshwork.</w:t>
      </w:r>
    </w:p>
    <w:p>
      <w:pPr>
        <w:spacing w:after="0" w:line="180"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We currently market TearCare in the United States f</w:t>
      </w:r>
      <w:r>
        <w:rPr>
          <w:rFonts w:ascii="Times New Roman" w:cs="Times New Roman" w:eastAsia="Times New Roman" w:hAnsi="Times New Roman"/>
          <w:sz w:val="18"/>
          <w:szCs w:val="18"/>
          <w:color w:val="242424"/>
        </w:rPr>
        <w:t>or the application of localized heat therapy in adult patients with evaporative DED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MGD, when used in conjunction with manual expression of the meibomian glands. </w:t>
      </w:r>
      <w:r>
        <w:rPr>
          <w:rFonts w:ascii="Times New Roman" w:cs="Times New Roman" w:eastAsia="Times New Roman" w:hAnsi="Times New Roman"/>
          <w:sz w:val="18"/>
          <w:szCs w:val="18"/>
          <w:color w:val="000000"/>
        </w:rPr>
        <w:t>There are an estimated 777 million people globally and 39 million</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people in the U.S. who suffer from DED. DED is the most common reason for a patient visit to an eye doctor, yet of the estimated 39 million people with DED in the U.S., only approximately</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37" w:name="page38"/>
    <w:bookmarkEnd w:id="37"/>
    <w:p>
      <w:pPr>
        <w:ind w:right="260"/>
        <w:spacing w:after="0" w:line="282" w:lineRule="auto"/>
        <w:rPr>
          <w:sz w:val="20"/>
          <w:szCs w:val="20"/>
          <w:color w:val="auto"/>
        </w:rPr>
      </w:pPr>
      <w:r>
        <w:rPr>
          <w:rFonts w:ascii="Times New Roman" w:cs="Times New Roman" w:eastAsia="Times New Roman" w:hAnsi="Times New Roman"/>
          <w:sz w:val="18"/>
          <w:szCs w:val="18"/>
          <w:color w:val="auto"/>
        </w:rPr>
        <w:t>17.8 million have been diagnosed with DED. Studies have shown that evaporative DED resulting from MGD is associated with up to 86% of all DED cases.</w:t>
      </w:r>
    </w:p>
    <w:p>
      <w:pPr>
        <w:spacing w:after="0" w:line="162" w:lineRule="exact"/>
        <w:rPr>
          <w:sz w:val="20"/>
          <w:szCs w:val="20"/>
          <w:color w:val="auto"/>
        </w:rPr>
      </w:pPr>
    </w:p>
    <w:p>
      <w:pPr>
        <w:ind w:right="120" w:firstLine="419"/>
        <w:spacing w:after="0" w:line="266" w:lineRule="auto"/>
        <w:rPr>
          <w:sz w:val="20"/>
          <w:szCs w:val="20"/>
          <w:color w:val="auto"/>
        </w:rPr>
      </w:pPr>
      <w:r>
        <w:rPr>
          <w:rFonts w:ascii="Times New Roman" w:cs="Times New Roman" w:eastAsia="Times New Roman" w:hAnsi="Times New Roman"/>
          <w:sz w:val="18"/>
          <w:szCs w:val="18"/>
          <w:color w:val="auto"/>
        </w:rPr>
        <w:t>The total addressable markets for our products are subject to change and may be limited by various factors, including FDA or other regulatory restrictions or more narrowly defined indications, ECP practice preferences, and governmental and private payor reimbursement practices, any of which could have a material adverse effect on our business, financial condition and results of operations.</w:t>
      </w:r>
    </w:p>
    <w:p>
      <w:pPr>
        <w:spacing w:after="0" w:line="176"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auto"/>
        </w:rPr>
        <w:t>Further, our estimates of the total addressable markets for our products are based on a number of internal and third-party assumptions and estimates, including, without limitation, the number of patients with POAG and MGD, and the assumed prices at which we can sell our products in markets that have not yet been fully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products may prove to be incorrect. If the actual number of patients who would benefit from our products or the price at which we can sell our products is smaller than we have estimated, it may impair our sales growth and negatively affect our business, financial condition and results of operations.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harmed if we are unable to accurately forecast customer demand for our products and manage our inventory.</w:t>
      </w:r>
    </w:p>
    <w:p>
      <w:pPr>
        <w:spacing w:after="0" w:line="5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While we seek to maintain sufficient levels of inventory in order to protect ourselves from supply interruptions, we keep limited components, sub-assemblies, materials and finished products on hand. To ensure adequate inventory supply and manage our operations with our third-party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material changes in product reimbursement, failure to accurately manage our expansion strategy, product introductions by competitors, an increase or decrease in customer demand for our products, our failure to accurately forecast customer acceptance and adoption of new products, unanticipated changes in general market conditions or regulatory matters and weakening of economic conditions or consumer confidence in future economic conditions.</w:t>
      </w:r>
    </w:p>
    <w:p>
      <w:pPr>
        <w:spacing w:after="0" w:line="192" w:lineRule="exact"/>
        <w:rPr>
          <w:sz w:val="20"/>
          <w:szCs w:val="20"/>
          <w:color w:val="auto"/>
        </w:rPr>
      </w:pPr>
    </w:p>
    <w:p>
      <w:pPr>
        <w:ind w:right="140" w:firstLine="419"/>
        <w:spacing w:after="0" w:line="254" w:lineRule="auto"/>
        <w:rPr>
          <w:sz w:val="20"/>
          <w:szCs w:val="20"/>
          <w:color w:val="auto"/>
        </w:rPr>
      </w:pPr>
      <w:r>
        <w:rPr>
          <w:rFonts w:ascii="Times New Roman" w:cs="Times New Roman" w:eastAsia="Times New Roman" w:hAnsi="Times New Roman"/>
          <w:sz w:val="18"/>
          <w:szCs w:val="18"/>
          <w:color w:val="auto"/>
        </w:rPr>
        <w:t>Inventory levels in excess of customer demand may result in a portion of our inventory becoming obsolete or expiring, as well as inventory write-downs or write-offs, which would negatively impact our gross margins and impair the strength of our brand. Conversely, if we underestimate customer demand for our products or our own requirements for components, sub-assemblies and materials, our third-party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or additional manufacturing capacity may not be available when required on terms that are acceptable to us, or at all, and our third-party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may fluctuate significantly and may not fully reflect the underlying performance of our business.</w:t>
      </w:r>
    </w:p>
    <w:p>
      <w:pPr>
        <w:spacing w:after="0" w:line="121" w:lineRule="exact"/>
        <w:rPr>
          <w:sz w:val="20"/>
          <w:szCs w:val="20"/>
          <w:color w:val="auto"/>
        </w:rPr>
      </w:pPr>
    </w:p>
    <w:p>
      <w:pPr>
        <w:ind w:right="40" w:firstLine="419"/>
        <w:spacing w:after="0" w:line="261" w:lineRule="auto"/>
        <w:rPr>
          <w:sz w:val="20"/>
          <w:szCs w:val="20"/>
          <w:color w:val="auto"/>
        </w:rPr>
      </w:pPr>
      <w:r>
        <w:rPr>
          <w:rFonts w:ascii="Times New Roman" w:cs="Times New Roman" w:eastAsia="Times New Roman" w:hAnsi="Times New Roman"/>
          <w:sz w:val="18"/>
          <w:szCs w:val="18"/>
          <w:color w:val="auto"/>
        </w:rPr>
        <w:t>Our quarterly and annual results of operations, including our revenue, may vary significantly in the future, and period-to-period comparisons of our operating results may not be meaningful. Accordingly, the results of any one quarter or period should not be relied upon as an indication of future performance or of the results for the year in which such quarter or period occurs. These fluctuations may occur due to a variety of factors, many of which are outside of our control, including, but not limited to:</w:t>
      </w:r>
    </w:p>
    <w:p>
      <w:pPr>
        <w:spacing w:after="0" w:line="180" w:lineRule="exact"/>
        <w:rPr>
          <w:sz w:val="20"/>
          <w:szCs w:val="20"/>
          <w:color w:val="auto"/>
        </w:rPr>
      </w:pPr>
    </w:p>
    <w:p>
      <w:pPr>
        <w:ind w:left="800" w:hanging="28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which may vary significantly;</w:t>
      </w:r>
    </w:p>
    <w:p>
      <w:pPr>
        <w:spacing w:after="0" w:line="117" w:lineRule="exact"/>
        <w:rPr>
          <w:rFonts w:ascii="Times New Roman" w:cs="Times New Roman" w:eastAsia="Times New Roman" w:hAnsi="Times New Roman"/>
          <w:sz w:val="18"/>
          <w:szCs w:val="18"/>
          <w:color w:val="auto"/>
        </w:rPr>
      </w:pPr>
    </w:p>
    <w:p>
      <w:pPr>
        <w:ind w:left="800" w:right="720" w:hanging="283"/>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coverage and reimbursement policies with respect to the procedures in which our products and our competitors' products are used, and potential future products that compete with our products;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38" w:name="page39"/>
    <w:bookmarkEnd w:id="38"/>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investigations involving the use of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decisions or announcements, including product recalls, and reimbursement determinations;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efforts and expenses;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w:t>
      </w:r>
    </w:p>
    <w:p>
      <w:pPr>
        <w:spacing w:after="0" w:line="117" w:lineRule="exact"/>
        <w:rPr>
          <w:rFonts w:ascii="Times New Roman" w:cs="Times New Roman" w:eastAsia="Times New Roman" w:hAnsi="Times New Roman"/>
          <w:sz w:val="18"/>
          <w:szCs w:val="18"/>
          <w:color w:val="auto"/>
        </w:rPr>
      </w:pPr>
    </w:p>
    <w:p>
      <w:pPr>
        <w:ind w:left="800" w:right="1080" w:hanging="283"/>
        <w:spacing w:after="0" w:line="282"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in the media or clinical publications of our products or products of our competitors or our industry;</w:t>
      </w:r>
    </w:p>
    <w:p>
      <w:pPr>
        <w:spacing w:after="0" w:line="117" w:lineRule="exact"/>
        <w:rPr>
          <w:rFonts w:ascii="Times New Roman" w:cs="Times New Roman" w:eastAsia="Times New Roman" w:hAnsi="Times New Roman"/>
          <w:sz w:val="18"/>
          <w:szCs w:val="18"/>
          <w:color w:val="auto"/>
        </w:rPr>
      </w:pPr>
    </w:p>
    <w:p>
      <w:pPr>
        <w:ind w:left="800" w:right="880" w:hanging="283"/>
        <w:spacing w:after="0" w:line="282"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orders or medical procedures using our products and the number of available selling days in any quarterly period, which can be impacted by holidays, the mix of products sold and the geographic mix of where products are sold;</w:t>
      </w:r>
    </w:p>
    <w:p>
      <w:pPr>
        <w:spacing w:after="0" w:line="53" w:lineRule="exact"/>
        <w:rPr>
          <w:rFonts w:ascii="Times New Roman" w:cs="Times New Roman" w:eastAsia="Times New Roman" w:hAnsi="Times New Roman"/>
          <w:sz w:val="18"/>
          <w:szCs w:val="18"/>
          <w:color w:val="auto"/>
        </w:rPr>
      </w:pPr>
    </w:p>
    <w:p>
      <w:pPr>
        <w:ind w:left="800" w:right="820" w:hanging="283"/>
        <w:spacing w:after="0" w:line="266"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commercialization activities, acquisitions and other strategic transactions, or other significant events relating to our products, which may change from time to time;</w:t>
      </w:r>
    </w:p>
    <w:p>
      <w:pPr>
        <w:spacing w:after="0" w:line="6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enforcing and defending our intellectual property rights, whether through litigation or otherwise;</w:t>
      </w:r>
    </w:p>
    <w:p>
      <w:pPr>
        <w:spacing w:after="0" w:line="117" w:lineRule="exact"/>
        <w:rPr>
          <w:rFonts w:ascii="Times New Roman" w:cs="Times New Roman" w:eastAsia="Times New Roman" w:hAnsi="Times New Roman"/>
          <w:sz w:val="18"/>
          <w:szCs w:val="18"/>
          <w:color w:val="auto"/>
        </w:rPr>
      </w:pPr>
    </w:p>
    <w:p>
      <w:pPr>
        <w:ind w:left="800" w:right="840" w:hanging="283"/>
        <w:spacing w:after="0" w:line="282"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agreements with third-party suppliers; and</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1"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enhance our products, maintain appropriate product reimbursement, expand our indications and develop and commercialize additional products in a timely manner. If we fail to identify, acquire and develop other products, we may be unable to grow our business.</w:t>
      </w:r>
    </w:p>
    <w:p>
      <w:pPr>
        <w:spacing w:after="0" w:line="67"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The markets for our products are highly competitive, dynamic, and marked by rapid and substantial technological development and product innovation. New entrants or existing competitors could attempt to develop products that compete directly with ours. Demand for our products and future related products could be diminished by equivalent or superior products and technologies offered by competitors or by material changes in reimbursement affecting our products. If we are unable to innovate successfully, our products could become obsolete and our revenue would decline as our customers purchase our competitors’ products. Developing and improving products is expensive and time-consuming and could divert management’s attention away from our existing products. The success of any new product offering or product enhancements to our solutions will depend on several factors, including our ability to:</w:t>
      </w:r>
    </w:p>
    <w:p>
      <w:pPr>
        <w:spacing w:after="0" w:line="189" w:lineRule="exact"/>
        <w:rPr>
          <w:sz w:val="20"/>
          <w:szCs w:val="20"/>
          <w:color w:val="auto"/>
        </w:rPr>
      </w:pPr>
    </w:p>
    <w:p>
      <w:pPr>
        <w:ind w:left="800" w:hanging="28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strong relationships with ECPs;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Assemble sufficient resources to acquire or discover additional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physician and patient needs;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and equitable coding, coverage and reimbursement for procedures performed with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misappropriating or otherwise violating the intellectual property rights of third parties;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39" w:name="page40"/>
    <w:bookmarkEnd w:id="39"/>
    <w:p>
      <w:pPr>
        <w:ind w:left="800" w:right="1640" w:hanging="283"/>
        <w:spacing w:after="0" w:line="282"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studies and clinical trials or investigations;</w:t>
      </w:r>
    </w:p>
    <w:p>
      <w:pPr>
        <w:spacing w:after="0" w:line="53" w:lineRule="exact"/>
        <w:rPr>
          <w:rFonts w:ascii="Times New Roman" w:cs="Times New Roman" w:eastAsia="Times New Roman" w:hAnsi="Times New Roman"/>
          <w:sz w:val="18"/>
          <w:szCs w:val="18"/>
          <w:color w:val="auto"/>
        </w:rPr>
      </w:pPr>
    </w:p>
    <w:p>
      <w:pPr>
        <w:ind w:left="800" w:right="1540" w:hanging="283"/>
        <w:spacing w:after="0" w:line="282"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certifications or approvals for expanded indications, new products or product modifications;</w:t>
      </w:r>
    </w:p>
    <w:p>
      <w:pPr>
        <w:spacing w:after="0" w:line="53" w:lineRule="exact"/>
        <w:rPr>
          <w:rFonts w:ascii="Times New Roman" w:cs="Times New Roman" w:eastAsia="Times New Roman" w:hAnsi="Times New Roman"/>
          <w:sz w:val="18"/>
          <w:szCs w:val="18"/>
          <w:color w:val="auto"/>
        </w:rPr>
      </w:pPr>
    </w:p>
    <w:p>
      <w:pPr>
        <w:ind w:left="800" w:right="1360" w:hanging="283"/>
        <w:spacing w:after="0" w:line="282"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FDA and similar foreign regulatory authorities regarding the marketing of new devices or modified products;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new products in commercial quantities at an acceptable cost;</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products; and</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225"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If we are unable to develop or improve products, applications or features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many of our competitors devote a considerably greater amount of funds to their research and development programs than we do, and those that do not may be acquired by larger companies that could allocate greater resources to research and development programs. Our failure or inability to devote adequate research and development resources or compete effectively with the research and development programs of our competitors could harm our business.</w:t>
      </w:r>
    </w:p>
    <w:p>
      <w:pPr>
        <w:spacing w:after="0" w:line="187"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In addition, we may choose to focus our efforts and resources on potential products or indications that ultimately prove to be unsuccessful, or to license or purchase marketed products that do not meet our financial expectations. As a result, we may fail to capitalize on viable commercial products or profitable market opportunities, be required to forego or delay pursuit of opportunities with other potential products or other diseases that may later prove to have greater commercial potential, or relinquish valuable rights to such potential products through collaboration, licensing or other royalty arrangements in cases in which it would have been advantageous for us to retain sole development and commercialization rights, which could adversely impact our business, financial condition and results of operations.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strategic realignment and cost saving initiatives could result in higher than expected costs, fail to achieve the anticipated cost savings, and cause disruptions in our business that could make it difficult to achieve our strategic objectives.</w:t>
      </w:r>
    </w:p>
    <w:p>
      <w:pPr>
        <w:spacing w:after="0" w:line="51" w:lineRule="exact"/>
        <w:rPr>
          <w:sz w:val="20"/>
          <w:szCs w:val="20"/>
          <w:color w:val="auto"/>
        </w:rPr>
      </w:pPr>
    </w:p>
    <w:p>
      <w:pPr>
        <w:jc w:val="both"/>
        <w:ind w:right="320" w:firstLine="419"/>
        <w:spacing w:after="0" w:line="266" w:lineRule="auto"/>
        <w:rPr>
          <w:sz w:val="20"/>
          <w:szCs w:val="20"/>
          <w:color w:val="auto"/>
        </w:rPr>
      </w:pPr>
      <w:r>
        <w:rPr>
          <w:rFonts w:ascii="Times New Roman" w:cs="Times New Roman" w:eastAsia="Times New Roman" w:hAnsi="Times New Roman"/>
          <w:sz w:val="18"/>
          <w:szCs w:val="18"/>
          <w:color w:val="auto"/>
        </w:rPr>
        <w:t>In October 2023, we initiated a strategic realignment of our operations, including approximately a 10% reduction in our workforce, which was intended to reduce operating expenses, improve cost efficiencies, and further extend our cash runway. However, these initiatives may not result in the anticipated benefits, and may result in unexpected difficulties or costs.</w:t>
      </w:r>
    </w:p>
    <w:p>
      <w:pPr>
        <w:spacing w:after="0" w:line="176"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In addition, we may fail to accurately estimate the level of cost savings and improvements to our cost structure associated with our initiatives, in which case our future operating results may be worse than expected. Further, our workforce reduction may be disruptive to our business and have unanticipated consequences, such as attrition beyond planned staff reductions, reduced employee morale, and decreased operational capabilities primarily within our Dry Eye business. Our workforce reductions could also harm our ability to attract and retain qualified personnel, which could adversely affect our business and results of operation. Our strategic initiatives may also have a negative effect on our existing relationships within our Dry Eye business segment, including with respect to business partners, customers, and other constituents. For example, we amended or terminated our contractual relationships with certain partners, which may harm our long-term business relationships with these partners and result in unexpected costs.</w:t>
      </w:r>
    </w:p>
    <w:p>
      <w:pPr>
        <w:spacing w:after="0" w:line="189" w:lineRule="exact"/>
        <w:rPr>
          <w:sz w:val="20"/>
          <w:szCs w:val="20"/>
          <w:color w:val="auto"/>
        </w:rPr>
      </w:pPr>
    </w:p>
    <w:p>
      <w:pPr>
        <w:ind w:right="240" w:firstLine="419"/>
        <w:spacing w:after="0" w:line="258" w:lineRule="auto"/>
        <w:rPr>
          <w:sz w:val="20"/>
          <w:szCs w:val="20"/>
          <w:color w:val="auto"/>
        </w:rPr>
      </w:pPr>
      <w:r>
        <w:rPr>
          <w:rFonts w:ascii="Times New Roman" w:cs="Times New Roman" w:eastAsia="Times New Roman" w:hAnsi="Times New Roman"/>
          <w:sz w:val="18"/>
          <w:szCs w:val="18"/>
          <w:color w:val="auto"/>
        </w:rPr>
        <w:t>We have limited experience implementing similar strategic initiatives and, as a result, we may fail to achieve the associated benefits, or fail to anticipate the associated costs or manage any expected difficulties. If we are unable to successfully manage these realignment activities, or any similar activities in the future, our financial performance, results of operations, and prospects could be negatively affected. In addition, the impact of these initiatives could result in variations in our financial results from period to period, which could make comparisons of our financial performance more difficult.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40" w:name="page41"/>
    <w:bookmarkEnd w:id="40"/>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organizations could have a material adverse effect on our sales and results of operations. Consolidation in the healthcare industry or group purchasing organizations could lead to demands for price concessions, which may affect our ability to sell our products at prices necessary to support our current business strategies.</w:t>
      </w:r>
    </w:p>
    <w:p>
      <w:pPr>
        <w:spacing w:after="0" w:line="67"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auto"/>
        </w:rPr>
        <w:t>In an effort to reduce costs, many clinics and hospitals in the United States, including some of our customers, are members of Group Purchasing Organizations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w:t>
      </w:r>
    </w:p>
    <w:p>
      <w:pPr>
        <w:spacing w:after="0" w:line="189" w:lineRule="exact"/>
        <w:rPr>
          <w:sz w:val="20"/>
          <w:szCs w:val="20"/>
          <w:color w:val="auto"/>
        </w:rPr>
      </w:pPr>
    </w:p>
    <w:p>
      <w:pPr>
        <w:ind w:right="60" w:firstLine="419"/>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sales volumes and revenue.</w:t>
      </w:r>
    </w:p>
    <w:p>
      <w:pPr>
        <w:spacing w:after="0" w:line="187"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may create more requests for pricing concessions in the future. Additionally, GPOs, IDNs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of our products. Any decline in the amount that payors reimburse our customers for procedures that use our Surgical Glaucoma products or in the amount that customers are willing to pay or that payors reimburse for procedures that use TearCare in the future, could make it difficult for customers to continue using, or to adopt, our products and could create additional pricing pressure for us. If we are forced to lower the price we charge for our products or add more components to our products, our gross margins will decrease, which will adversely affect our ability to invest in and grow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the anticipated growth of our business.</w:t>
      </w:r>
    </w:p>
    <w:p>
      <w:pPr>
        <w:spacing w:after="0" w:line="121" w:lineRule="exact"/>
        <w:rPr>
          <w:sz w:val="20"/>
          <w:szCs w:val="20"/>
          <w:color w:val="auto"/>
        </w:rPr>
      </w:pPr>
    </w:p>
    <w:p>
      <w:pPr>
        <w:ind w:right="300" w:firstLine="419"/>
        <w:spacing w:after="0" w:line="272" w:lineRule="auto"/>
        <w:rPr>
          <w:sz w:val="20"/>
          <w:szCs w:val="20"/>
          <w:color w:val="auto"/>
        </w:rPr>
      </w:pPr>
      <w:r>
        <w:rPr>
          <w:rFonts w:ascii="Times New Roman" w:cs="Times New Roman" w:eastAsia="Times New Roman" w:hAnsi="Times New Roman"/>
          <w:sz w:val="17"/>
          <w:szCs w:val="17"/>
          <w:color w:val="auto"/>
        </w:rPr>
        <w:t>In order to grow, we need to expand our commercial team, and general and administrative infrastructure. In addition to the need to scale our organization, future growth will impose significant added responsibilities on management, including the need to identify, recruit, train and integrate additional employees. Rapid expansion in personnel could mean that less experienced people market and sell our products, which could result in inefficiencies and unanticipated costs, reduced quality and disruptions to our operations. In addition, rapid and significant growth may strain our administrative and operational infrastructure. Our ability to manage our business and growth will require us to continue to improve our operational, financial and management controls, reporting systems and procedures. For example, we currently rely on a combination of direct sales personnel and independent distributors to sell our products in Europe, and we intend to grow our international sales through a combination of direct and distributor sales. If we are unable to manage our growth effectively, it may be difficult for us to execute our business strategy and our business could be harmed.</w:t>
      </w:r>
    </w:p>
    <w:p>
      <w:pPr>
        <w:spacing w:after="0" w:line="172"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As demand for our current products or any of our future products increases, we will need to continue to expand customer service, billing and systems processes and enhance our internal quality assurance program. We cannot assure you that any increases in scale, related improvements and quality assurance will be successfully implemented or that appropriate personnel will be available to facilitate the growth of our business. Failure to implement necessary procedures, transition to new processes or hire the necessary personnel could result in higher costs of processing data or inability to meet increased demand.</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89" w:right="419" w:bottom="1440" w:gutter="0" w:footer="0" w:header="0"/>
        </w:sectPr>
      </w:pPr>
    </w:p>
    <w:bookmarkStart w:id="41" w:name="page42"/>
    <w:bookmarkEnd w:id="41"/>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distributors could negatively affect our business, financial condition and results of operations and harm our reputation and the relationship between us and the ECPs we work with.</w:t>
      </w:r>
    </w:p>
    <w:p>
      <w:pPr>
        <w:spacing w:after="0" w:line="51" w:lineRule="exact"/>
        <w:rPr>
          <w:sz w:val="20"/>
          <w:szCs w:val="20"/>
          <w:color w:val="auto"/>
        </w:rPr>
      </w:pPr>
    </w:p>
    <w:p>
      <w:pPr>
        <w:ind w:right="140" w:firstLine="419"/>
        <w:spacing w:after="0" w:line="273" w:lineRule="auto"/>
        <w:rPr>
          <w:sz w:val="20"/>
          <w:szCs w:val="20"/>
          <w:color w:val="auto"/>
        </w:rPr>
      </w:pPr>
      <w:r>
        <w:rPr>
          <w:rFonts w:ascii="Times New Roman" w:cs="Times New Roman" w:eastAsia="Times New Roman" w:hAnsi="Times New Roman"/>
          <w:sz w:val="17"/>
          <w:szCs w:val="17"/>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solutions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 These factors could negatively affect our business, financial condition and results of operations and harm our reputation and the relationship between us and the ECPs we work with.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become obsolete in the future.</w:t>
      </w:r>
    </w:p>
    <w:p>
      <w:pPr>
        <w:spacing w:after="0" w:line="121" w:lineRule="exact"/>
        <w:rPr>
          <w:sz w:val="20"/>
          <w:szCs w:val="20"/>
          <w:color w:val="auto"/>
        </w:rPr>
      </w:pPr>
    </w:p>
    <w:p>
      <w:pPr>
        <w:ind w:right="60" w:firstLine="419"/>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rapid and significant change. There can be no assurance that other companies will not succeed in developing or marketing devices or products that are more effective than our products or that would render our products obsolete or noncompetitive. Additionally, new surgical procedures, medications and other therapies could be developed that replace or reduce the importance of our products. Accordingly, our success will depend in part on our ability to respond quickly to medical and other changes through the development and introduction of new products. Product development involves a high degree of risk, and there can be no assurance that our new product development efforts will result in any commercially successful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bear the risk of potential warranty claims on our products.</w:t>
      </w:r>
    </w:p>
    <w:p>
      <w:pPr>
        <w:spacing w:after="0" w:line="121"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We provide limited warranties regarding our products, including warranties pertaining to freedom from defects and conformance to specifications. We are generally obligated under our sales contracts to repair, replace or credit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product improvements or the generation of significant future revenues.</w:t>
      </w:r>
    </w:p>
    <w:p>
      <w:pPr>
        <w:spacing w:after="0" w:line="51"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auto"/>
        </w:rPr>
        <w:t>We may enter into collaborations, in-licensing arrangements, joint ventures, strategic alliances, partnerships or other arrangements to develop new products or product improvements and to pursue new markets.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viable product improvements or result in significant revenues and could be terminated prior to developing any products.</w:t>
      </w:r>
    </w:p>
    <w:p>
      <w:pPr>
        <w:spacing w:after="0" w:line="189" w:lineRule="exact"/>
        <w:rPr>
          <w:sz w:val="20"/>
          <w:szCs w:val="20"/>
          <w:color w:val="auto"/>
        </w:rPr>
      </w:pPr>
    </w:p>
    <w:p>
      <w:pPr>
        <w:jc w:val="both"/>
        <w:ind w:right="160" w:firstLine="419"/>
        <w:spacing w:after="0" w:line="255"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42" w:name="page43"/>
    <w:bookmarkEnd w:id="42"/>
    <w:p>
      <w:pPr>
        <w:ind w:firstLine="419"/>
        <w:spacing w:after="0" w:line="253" w:lineRule="auto"/>
        <w:rPr>
          <w:sz w:val="20"/>
          <w:szCs w:val="20"/>
          <w:color w:val="auto"/>
        </w:rPr>
      </w:pPr>
      <w:r>
        <w:rPr>
          <w:rFonts w:ascii="Times New Roman" w:cs="Times New Roman" w:eastAsia="Times New Roman" w:hAnsi="Times New Roman"/>
          <w:sz w:val="18"/>
          <w:szCs w:val="18"/>
          <w:color w:val="auto"/>
        </w:rPr>
        <w:t>Disputes between us and any collaborators we may have in the future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and/or seek damages arising out of the alleged breach, which could adversely affect our competitive business position and harm our business prospects.</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will negatively affect our business, financial condition and results of operations.</w:t>
      </w:r>
    </w:p>
    <w:p>
      <w:pPr>
        <w:spacing w:after="0" w:line="51" w:lineRule="exact"/>
        <w:rPr>
          <w:sz w:val="20"/>
          <w:szCs w:val="20"/>
          <w:color w:val="auto"/>
        </w:rPr>
      </w:pPr>
    </w:p>
    <w:p>
      <w:pPr>
        <w:ind w:right="180" w:firstLine="419"/>
        <w:spacing w:after="0" w:line="254" w:lineRule="auto"/>
        <w:rPr>
          <w:sz w:val="20"/>
          <w:szCs w:val="20"/>
          <w:color w:val="auto"/>
        </w:rPr>
      </w:pPr>
      <w:r>
        <w:rPr>
          <w:rFonts w:ascii="Times New Roman" w:cs="Times New Roman" w:eastAsia="Times New Roman" w:hAnsi="Times New Roman"/>
          <w:sz w:val="18"/>
          <w:szCs w:val="18"/>
          <w:color w:val="auto"/>
        </w:rPr>
        <w:t>Our success depends largely on the continued services of key members of our executive management team and others in key management positions. For example, the services of Paul Badawi, our Chief Executive Officer, David Badawi, our Chief Technology Officer, and Alison Bauerlein, our Chief Financial Officer, are essential to driving innovation and adoption of our products, executing on our corporate strategy and ensuring the continued operations and integrity of financial reporting within our company. In addition, the services of our commercial leadership and sales professionals are critical to driving the growth in sales of our products. Any of our employees may terminate their employment with us at any time. We currently maintain a key person life insurance policy on Paul Badawi and David Badawi. If we lose one or more key employees, we may experience difficulties in competing effectively, developing our technologies and implementing our business strategy, which in turn would negatively affect our business.</w:t>
      </w:r>
    </w:p>
    <w:p>
      <w:pPr>
        <w:spacing w:after="0" w:line="192" w:lineRule="exact"/>
        <w:rPr>
          <w:sz w:val="20"/>
          <w:szCs w:val="20"/>
          <w:color w:val="auto"/>
        </w:rPr>
      </w:pPr>
    </w:p>
    <w:p>
      <w:pPr>
        <w:ind w:right="40" w:firstLine="419"/>
        <w:spacing w:after="0" w:line="274" w:lineRule="auto"/>
        <w:rPr>
          <w:sz w:val="20"/>
          <w:szCs w:val="20"/>
          <w:color w:val="auto"/>
        </w:rPr>
      </w:pPr>
      <w:r>
        <w:rPr>
          <w:rFonts w:ascii="Times New Roman" w:cs="Times New Roman" w:eastAsia="Times New Roman" w:hAnsi="Times New Roman"/>
          <w:sz w:val="17"/>
          <w:szCs w:val="17"/>
          <w:color w:val="auto"/>
        </w:rPr>
        <w:t>In addition, our research and development programs, clinical and quality operations and sales efforts depend on our ability to attract and retain highly skilled engineers and sales professionals, as well as experienced regulatory, quality and clinical professionals. We may not be able to attract or retain qualified professionals in the future due to the competition for qualified personnel. We have from time to time experienced, and we expect to continue to experience, difficulty in hiring and retaining employees with appropriate qualifications. Many of the companies with which we compete for experienced personnel have greater resources than we do. If we hire employees from competitors or other companies, their former employers may attempt to assert that these employees or we have breached legal obligations, resulting in a diversion of our time and resources and, potentially, damages.</w:t>
      </w:r>
    </w:p>
    <w:p>
      <w:pPr>
        <w:spacing w:after="0" w:line="173"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stock awards they receive in connection with their employment. If the perceived benefits of our stock awards decline, either because of unfavorable fluctuations or declines in our stock price or for other reasons, it may harm our ability to recruit and retain highly skilled employees. Many of our employees have become or will soon become vested in a substantial amount of our common stock or a number of common stock options. Our employees may be more likely to leave us if the market price of our common stock approaches or falls below the exercise price of their vested and unvested option shares. Substantial declines in the market price of our common stock will also reduce the effectiveness of any restricted stock unit or other equity incentive awards in attracting and retaining employees, especially within the current highly competitive labor market. Our future success also depends on our ability to continue to attract and retain additional executive officers and other key employees. If we fail to attract new personnel or fail to retain and motivate our current personnel, it will negatively affect our business, financial condition and results of operations.</w:t>
      </w:r>
    </w:p>
    <w:p>
      <w:pPr>
        <w:spacing w:after="0" w:line="184" w:lineRule="exact"/>
        <w:rPr>
          <w:sz w:val="20"/>
          <w:szCs w:val="20"/>
          <w:color w:val="auto"/>
        </w:rPr>
      </w:pPr>
    </w:p>
    <w:p>
      <w:pPr>
        <w:ind w:right="9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use, misuse or off-label use of our products may result in injuries that lead to product liability suits, which could be expensive, divert management’s attention and harm our reputation and business. We may not be able to maintain adequate product liability insurance.</w:t>
      </w:r>
    </w:p>
    <w:p>
      <w:pPr>
        <w:spacing w:after="0" w:line="28"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auto"/>
        </w:rPr>
        <w:t>Our products are cleared or authorized by the FDA and certified in the EU to be marketed for certain specific intended uses. If physicians elect to use our products in manners outside of the intended uses that have been cleared, authorized, or certified, then such off-label use of our products may result in outcomes and adverse events that are sight threatening, necessitate medical or surgical intervention to preclude permanent impairment of vision, or result in a permanent impairment of vision, potentially leading to product liability claims. However, we cannot prevent a physician from using</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43" w:name="page44"/>
    <w:bookmarkEnd w:id="43"/>
    <w:p>
      <w:pPr>
        <w:ind w:right="40"/>
        <w:spacing w:after="0" w:line="258" w:lineRule="auto"/>
        <w:rPr>
          <w:sz w:val="20"/>
          <w:szCs w:val="20"/>
          <w:color w:val="auto"/>
        </w:rPr>
      </w:pPr>
      <w:r>
        <w:rPr>
          <w:rFonts w:ascii="Times New Roman" w:cs="Times New Roman" w:eastAsia="Times New Roman" w:hAnsi="Times New Roman"/>
          <w:sz w:val="18"/>
          <w:szCs w:val="18"/>
          <w:color w:val="auto"/>
        </w:rPr>
        <w:t>our products for off-label applications or using components or products that are not our products when performing procedures with our products. There may be increased risk of injury to patients if physicians attempt to use our devices off-label. In addition, we cannot guarantee that physicians are trained by us or their peers prior to utilizing our products. Complications resulting from the use of our products off-label or use by physicians who have not been trained appropriately, or at all, may not effectively treat the applicable conditions and may expose us to product liability claims or litigation by our customers or their patients and may harm our reputation.</w:t>
      </w:r>
    </w:p>
    <w:p>
      <w:pPr>
        <w:spacing w:after="0" w:line="183"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In addition, if our products are defectively designed, manufactured or labeled, contain defective components or are misused, we may become subject to costly litigation initiated by hospitals, surgical centers, ECPs or patients. Product liability claims are especially prevalent in the medical device industry and could harm our reputation, divert management’s attention from our core business, attract negative publicity, be expensive to defend and may result in sizable damage awards against us. Although we maintain product liability insurance, we may not have sufficient insurance coverage for future product liability claims. We are not able to obtain insurance in amounts or scope sufficient to provide us with adequate coverage against all potential liabilities. Any product liability claims brought against us, with or without merit, could increase our product liability insurance rates or prevent us from securing continuing coverage, harm our reputation, significantly increase our expenses, and reduce product sales. Product liability claims could cause us to incur significant legal fees and deductibles and claims in excess of our insurance coverage would be paid out of cash reserves, harming our financial condition and operating results.</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finance our planned operations, and may not be able to raise capital on acceptable terms, if at all, which could force us to delay, reduce or eliminate our product development programs and commercialization efforts.</w:t>
      </w:r>
    </w:p>
    <w:p>
      <w:pPr>
        <w:spacing w:after="0" w:line="5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expect to continue to incur net losses for the foreseeable future. Our operations have been financed primarily by net proceeds from the sale of our convertible preferred stock in private placements and sale of our common stock in our initial public offering, revenue from sales of our products and secured indebtedness. As of December 31, 2023, we had $138.1 million in cash and cash equivalents, and an accumulated deficit of $294.8 million. Based on our current planned operations, we expect that our cash and cash equivalents and additional borrowings available under our credit facility (subject to satisfaction of certain conditions precedent) will enable us to fund our operations for at least the next 12 months. We have based these estimates on assumptions that may prove to be wrong, including, without limitation, our assumption that procedures in which our OMNI technology is used will continue to be adequately reimbursed, and we could utilize our available capital resources sooner than we expect.</w:t>
      </w:r>
    </w:p>
    <w:p>
      <w:pPr>
        <w:spacing w:after="0" w:line="192" w:lineRule="exact"/>
        <w:rPr>
          <w:sz w:val="20"/>
          <w:szCs w:val="20"/>
          <w:color w:val="auto"/>
        </w:rPr>
      </w:pPr>
    </w:p>
    <w:p>
      <w:pPr>
        <w:jc w:val="both"/>
        <w:ind w:right="320" w:firstLine="419"/>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clinical trials or investigations that are designed to provide clinical evidence of the safety and efficacy of our products, the growth of our sales and marketing organization, and research and development of product improvements and future products, including certain pharmaceutical product candidates, which will continue to increase our expenses. Accordingly, our future capital requirements will depend on many factors, including:</w:t>
      </w:r>
    </w:p>
    <w:p>
      <w:pPr>
        <w:spacing w:after="0" w:line="180" w:lineRule="exact"/>
        <w:rPr>
          <w:sz w:val="20"/>
          <w:szCs w:val="20"/>
          <w:color w:val="auto"/>
        </w:rPr>
      </w:pPr>
    </w:p>
    <w:p>
      <w:pPr>
        <w:ind w:left="800" w:right="800" w:hanging="283"/>
        <w:spacing w:after="0" w:line="282" w:lineRule="auto"/>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acceptance of our products and procedures, as well as the revenue generated by sales of our products and the gross profits and gross margin we realize from such sales;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obtain and maintain reimbursement sufficient to drive continued use and adoption of our products and procedures;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acquire third-party companies, products or technologies;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investment in our sales force and expansion of our commercial organization;</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current or future clinical trials or investigations and registries;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medical device and pharmaceutical research and development activities;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clearances, certifications or approvals;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protecting and enforcing our intellectual property rights;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44" w:name="page45"/>
    <w:bookmarkEnd w:id="44"/>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competitors’ ability, to obtain and maintain favorable reimbursement for our products; and</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expand internationally.</w:t>
      </w:r>
    </w:p>
    <w:p>
      <w:pPr>
        <w:spacing w:after="0" w:line="225"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As a result of these and other factors, 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the initial public offering of our common stock.</w:t>
      </w:r>
    </w:p>
    <w:p>
      <w:pPr>
        <w:spacing w:after="0" w:line="219" w:lineRule="exact"/>
        <w:rPr>
          <w:sz w:val="20"/>
          <w:szCs w:val="20"/>
          <w:color w:val="auto"/>
        </w:rPr>
      </w:pPr>
    </w:p>
    <w:p>
      <w:pPr>
        <w:ind w:firstLine="473"/>
        <w:spacing w:after="0" w:line="255" w:lineRule="auto"/>
        <w:rPr>
          <w:sz w:val="20"/>
          <w:szCs w:val="20"/>
          <w:color w:val="auto"/>
        </w:rPr>
      </w:pPr>
      <w:r>
        <w:rPr>
          <w:rFonts w:ascii="Times New Roman" w:cs="Times New Roman" w:eastAsia="Times New Roman" w:hAnsi="Times New Roman"/>
          <w:sz w:val="18"/>
          <w:szCs w:val="18"/>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89" w:lineRule="exact"/>
        <w:rPr>
          <w:sz w:val="20"/>
          <w:szCs w:val="20"/>
          <w:color w:val="auto"/>
        </w:rPr>
      </w:pPr>
    </w:p>
    <w:p>
      <w:pPr>
        <w:jc w:val="both"/>
        <w:ind w:right="120" w:firstLine="419"/>
        <w:spacing w:after="0" w:line="281" w:lineRule="auto"/>
        <w:rPr>
          <w:sz w:val="20"/>
          <w:szCs w:val="20"/>
          <w:color w:val="auto"/>
        </w:rPr>
      </w:pPr>
      <w:r>
        <w:rPr>
          <w:rFonts w:ascii="Times New Roman" w:cs="Times New Roman" w:eastAsia="Times New Roman" w:hAnsi="Times New Roman"/>
          <w:sz w:val="17"/>
          <w:szCs w:val="17"/>
          <w:color w:val="auto"/>
        </w:rPr>
        <w:t>If we are unable to obtain adequate financing on terms satisfactory to us when we require it, we may terminate or delay the development of one or more of our products, delay clinical trials or investigations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which may affect our ability to operate our business and secure additional financing in the future.</w:t>
      </w:r>
    </w:p>
    <w:p>
      <w:pPr>
        <w:spacing w:after="0" w:line="121" w:lineRule="exact"/>
        <w:rPr>
          <w:sz w:val="20"/>
          <w:szCs w:val="20"/>
          <w:color w:val="auto"/>
        </w:rPr>
      </w:pPr>
    </w:p>
    <w:p>
      <w:pPr>
        <w:ind w:right="40" w:firstLine="419"/>
        <w:spacing w:after="0" w:line="253" w:lineRule="auto"/>
        <w:rPr>
          <w:sz w:val="20"/>
          <w:szCs w:val="20"/>
          <w:color w:val="auto"/>
        </w:rPr>
      </w:pPr>
      <w:r>
        <w:rPr>
          <w:rFonts w:ascii="Times New Roman" w:cs="Times New Roman" w:eastAsia="Times New Roman" w:hAnsi="Times New Roman"/>
          <w:sz w:val="18"/>
          <w:szCs w:val="18"/>
          <w:color w:val="auto"/>
        </w:rPr>
        <w:t>In January 2024, we entered into a Loan and Security Agreement (the “Hercules Loan Agreement”) with Hercules Capital, Inc. (“Hercules”) and certain affiliates of Hercules (collectively with Hercules, the “Lenders”), which provides for a senior secured term loan facility in the aggregate principal amount of up to $65.0 million (the “Term Loan”). An initial tranche of $35.0 million was funded under the Hercules Loan Agreement, and up to an additional $30 million of additional borrowings are potentially available, subject to satisfaction of certain milestones, consents and other conditions precedent. There is no guarantee that we will meet these conditions precedent to borrowing additional amounts under the Hercules Loan Agreement. The Term Loan accrues interest at a floating annual rate based on the greater of (i) 10.35% or (ii) the Wall Street Journal prime rate plus 2.35%. Accrued interest on the Term Loan is payable monthly in arrears. Upon an event of default under the Hercules Loan Agreement, the interest rate will automatically increase by an additional 3.0% per annum. As of December 31, 2023 we had an aggregate of approximately $35 million in principal borrowings outstanding under our prior secured credit facility (the “Prior Facility”) with MidCap Financial Trust and certain of its affiliates, which borrowings we paid off in full as a condition precedent to entry into the Hercules Loan Agreement. Our interest payments under the Prior Facility and under the Loan Agreement have diverted and will continue to divert resources from our operations and other activities. We incurred an aggregate interest expense of $5.4 million and $4.5 million in the years ended December 31, 2023 and 2022, respectively.</w:t>
      </w:r>
    </w:p>
    <w:p>
      <w:pPr>
        <w:spacing w:after="0" w:line="190"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Our obligations under the Hercules Loan Agreement are collateralized by a security interest in substantially all of our assets. The Hercules Loan Agreement contains customary representations and warranties, affirmative covenants, negative covenants, financial covenants, events of default and other provisions and conditions. The affirmative covenants, among over things, require us to undertake various reporting and notice requirements and an obligation to maintain and enforce certain rights, approvals and assets. The negative covenants restrict our ability to, among other things and subject to certain</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45" w:name="page46"/>
    <w:bookmarkEnd w:id="45"/>
    <w:p>
      <w:pPr>
        <w:spacing w:after="0" w:line="253" w:lineRule="auto"/>
        <w:rPr>
          <w:sz w:val="20"/>
          <w:szCs w:val="20"/>
          <w:color w:val="auto"/>
        </w:rPr>
      </w:pPr>
      <w:r>
        <w:rPr>
          <w:rFonts w:ascii="Times New Roman" w:cs="Times New Roman" w:eastAsia="Times New Roman" w:hAnsi="Times New Roman"/>
          <w:sz w:val="18"/>
          <w:szCs w:val="18"/>
          <w:color w:val="auto"/>
        </w:rPr>
        <w:t>exceptions contained in the Hercules Loan Agreement, incur new indebtedness; create liens on assets; engage in certain fundamental corporate changes, such as mergers and acquisitions; change our business activities; and make investments or restricted payments, in each case subject to customary exceptions. The negative covenants also restrict our ability to change our fiscal year, repay certain indebtedness, engage in certain affiliate transactions, or enter into, amend or terminate any other agreements that has the impact of restricting our ability to make loan repayments under the Hercules Loan Agreement. In addition, we are subject to certain financial covenants under the Loan Agreement pertaining to minimum cash and minimum revenue thresholds. The covenants related to the Loan Agreement, as well as any future financing agreements into which we may enter, may restrict our ability to finance our operations and engage in, expand or otherwise pursue our business activities and strategies. Our ability to draw down further amounts under our Hercules Loan Agreement is contingent upon us meeting certain conditions precedent. Any failure to meet these conditions could prevent us from accessing non-dilutive capital under the Hercules Loan Agreement if needed, which could require us to seek additional funding from other sources, which additional capital may not be available or may only be available on terms less favorable than those that would otherwise be available under the agreement.</w:t>
      </w:r>
    </w:p>
    <w:p>
      <w:pPr>
        <w:spacing w:after="0" w:line="192"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While we believe that we have not previously breached and are not currently in breach of these or any other covenants contained in the Hercules Loan Agreement, there can be no guarantee that we will not breach these covenants in the future. Our ability to comply with these covenants may be affected by events beyond our control, and future breaches of any of these covenants could result in a default under the Hercules Loan Agreement. If not waived, future defaults could cause all of the outstanding indebtedness under the agreement to become immediately due and payable and terminate commitments to extend further credit and foreclose on the collateral granted to it to collateralize such indebtedness. If we do not have or are unable to generate sufficient cash available to repay our debt obligations when they become due and payable, either upon maturity or in the event of a default, our assets could be foreclosed upon and we may not be able to obtain additional debt or equity financing on favorable terms, if at all, which may negatively impact our ability to operate and continue our business as a going concern.</w:t>
      </w:r>
    </w:p>
    <w:p>
      <w:pPr>
        <w:spacing w:after="0" w:line="192"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 or greater financial resources to service their debt.</w:t>
      </w:r>
    </w:p>
    <w:p>
      <w:pPr>
        <w:spacing w:after="0" w:line="188"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28" w:lineRule="exact"/>
        <w:rPr>
          <w:sz w:val="20"/>
          <w:szCs w:val="20"/>
          <w:color w:val="auto"/>
        </w:rPr>
      </w:pPr>
    </w:p>
    <w:p>
      <w:pPr>
        <w:ind w:right="40" w:firstLine="419"/>
        <w:spacing w:after="0" w:line="266" w:lineRule="auto"/>
        <w:rPr>
          <w:sz w:val="20"/>
          <w:szCs w:val="20"/>
          <w:color w:val="auto"/>
        </w:rPr>
      </w:pPr>
      <w:r>
        <w:rPr>
          <w:rFonts w:ascii="Times New Roman" w:cs="Times New Roman" w:eastAsia="Times New Roman" w:hAnsi="Times New Roman"/>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76" w:lineRule="exact"/>
        <w:rPr>
          <w:sz w:val="20"/>
          <w:szCs w:val="20"/>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purchased technologies, products, or business operations;</w:t>
      </w:r>
    </w:p>
    <w:p>
      <w:pPr>
        <w:spacing w:after="0" w:line="117" w:lineRule="exact"/>
        <w:rPr>
          <w:rFonts w:ascii="Times New Roman" w:cs="Times New Roman" w:eastAsia="Times New Roman" w:hAnsi="Times New Roman"/>
          <w:sz w:val="18"/>
          <w:szCs w:val="18"/>
          <w:color w:val="auto"/>
        </w:rPr>
      </w:pPr>
    </w:p>
    <w:p>
      <w:pPr>
        <w:ind w:left="800" w:right="640" w:hanging="283"/>
        <w:spacing w:after="0" w:line="282"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equity securities, the use of our available cash, or the incurrence of debt, which could harm our operating results;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liabilities associated with acquisitions;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93" w:right="459" w:bottom="1440" w:gutter="0" w:footer="0" w:header="0"/>
        </w:sectPr>
      </w:pPr>
    </w:p>
    <w:bookmarkStart w:id="46" w:name="page47"/>
    <w:bookmarkEnd w:id="46"/>
    <w:p>
      <w:pPr>
        <w:ind w:left="800" w:hanging="28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 as well as potential litigation costs, arising out of the acquisition or investment.</w:t>
      </w:r>
    </w:p>
    <w:p>
      <w:pPr>
        <w:spacing w:after="0" w:line="225"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We have no current commitments with respect to any acquisition or investment. Under the Hercules Loan Agreement, we are restricted in our ability to pursue certain mergers, acquisitions, amalgamations or consolidations that we may believe to be in our best interest.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could compromise sensitive information related to our business or our customer’s patients, or prevent us from accessing critical information and expose us to liability, which could adversely affect our business and our reputation.</w:t>
      </w:r>
    </w:p>
    <w:p>
      <w:pPr>
        <w:spacing w:after="0" w:line="5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may become exposed to, or collect and store, sensitive data, including procedure-based information and legally-protected health information, credit card, and other financial information, insurance information, and other potentially personally identifiable information. We also store sensitive intellectual property and other proprietary business information. We take measures to implement and update policies and procedures designed to ensure compliance with applicable data security and privacy-related laws and regulations and protect sensitive information from unauthorized access or disclosure. However, our information technology ("IT"), and infrastructure, and that of our third-party billing and collections provider and other technology partners and providers, may be vulnerable to cyber-attacks by hackers or viruses or breaches due to employee error, malfeasance or other disruptions. We rely extensively on IT systems, networks and services, including internet sites, data hosting and processing facilities and tools, physical security systems and other hardware, software and technical applications and platforms, some of which are managed, hosted, provided and/or used by third parties or their vendors, to assist in conducting our business. A significant breakdown, invasion, corruption, destruction or interruption of critical information technology systems or infrastructure, by our workforce, others with authorized access to our systems or unauthorized persons could negatively impact operations.</w:t>
      </w:r>
    </w:p>
    <w:p>
      <w:pPr>
        <w:spacing w:after="0" w:line="192"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auto"/>
        </w:rPr>
        <w:t>The ever-increasing use and evolution of technology, including cloud-based computing, creates opportunities for the unintentional dissemination or intentional destruction of confidential information stored in our or our third-party providers’ systems, portable media or storage devices. For example, companies continue to experience increases in phishing and social engineering attacks from third parties. We could also experience a business interruption, theft of confidential information or reputational damage from industrial espionage attacks, malware or other cyber-attacks, which may compromise our system infrastructure or lead to data leakage, either internally or at our third-party providers. Although the aggregate impact on our operations and financial condition has not been material to date, we have been the target of events of this nature and expect them to continue as cybersecurity threats have been rapidly evolving in sophistication and becoming more prevalent in the industry. We are investing in protections and monitoring practices of our data and IT to reduce these risks and continue to monitor our systems on an ongoing basis for any current or potential threats. There can be no assurance, however, that our efforts will prevent breakdowns or breaches to our or our third-party providers’ databases or systems, and such breakdowns or breaches could adversely affect our business, financial condition and reputation. We also have partially mitigated these risks by purchasing cybersecurity insurance. However, such insurance will not necessarily cover all costs and impacts related to these risks.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planned international expansion of our business will expose us to market, legal, regulatory, political, operational, financial and economic risks associated with doing business outside of the United States.</w:t>
      </w:r>
    </w:p>
    <w:p>
      <w:pPr>
        <w:spacing w:after="0" w:line="51"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auto"/>
        </w:rPr>
        <w:t>We intend to increase our international presence, including securing additional regulatory approvals in targeted countries outside the United States. This strategy may include establishing and maintaining physician outreach and education capabilities outside of the United States and expanding our relationships with international payors. Doing business internationally involves a number of risks, including:</w:t>
      </w:r>
    </w:p>
    <w:p>
      <w:pPr>
        <w:spacing w:after="0" w:line="176" w:lineRule="exact"/>
        <w:rPr>
          <w:sz w:val="20"/>
          <w:szCs w:val="20"/>
          <w:color w:val="auto"/>
        </w:rPr>
      </w:pPr>
    </w:p>
    <w:p>
      <w:pPr>
        <w:jc w:val="right"/>
        <w:ind w:left="5420" w:right="5460" w:hanging="4903"/>
        <w:spacing w:after="0" w:line="657"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239395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47" w:name="page48"/>
    <w:bookmarkEnd w:id="47"/>
    <w:p>
      <w:pPr>
        <w:ind w:left="800" w:right="780" w:hanging="283"/>
        <w:spacing w:after="0" w:line="282"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clearance, certification or approval where required for our products in various countries;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maintain data and the processing of that data on servers located within such countries;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required to manufacture our products locally;</w:t>
      </w:r>
    </w:p>
    <w:p>
      <w:pPr>
        <w:spacing w:after="0" w:line="117" w:lineRule="exact"/>
        <w:rPr>
          <w:rFonts w:ascii="Times New Roman" w:cs="Times New Roman" w:eastAsia="Times New Roman" w:hAnsi="Times New Roman"/>
          <w:sz w:val="18"/>
          <w:szCs w:val="18"/>
          <w:color w:val="auto"/>
        </w:rPr>
      </w:pPr>
    </w:p>
    <w:p>
      <w:pPr>
        <w:ind w:left="800" w:right="920" w:hanging="283"/>
        <w:spacing w:after="0" w:line="266"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p>
      <w:pPr>
        <w:spacing w:after="0" w:line="6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site-of-service for use of our products and the economics related thereto for physicians, providers and payors;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and costs associated with hedging against such changes;</w:t>
      </w:r>
    </w:p>
    <w:p>
      <w:pPr>
        <w:spacing w:after="0" w:line="117" w:lineRule="exact"/>
        <w:rPr>
          <w:rFonts w:ascii="Times New Roman" w:cs="Times New Roman" w:eastAsia="Times New Roman" w:hAnsi="Times New Roman"/>
          <w:sz w:val="18"/>
          <w:szCs w:val="18"/>
          <w:color w:val="auto"/>
        </w:rPr>
      </w:pPr>
    </w:p>
    <w:p>
      <w:pPr>
        <w:ind w:left="800" w:right="1280" w:hanging="283"/>
        <w:spacing w:after="0" w:line="282"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current military conflict between Russia and Ukraine, terrorism, political unrest, outbreak of disease, boycotts, curtailment of trade and other market restrictions; and</w:t>
      </w:r>
    </w:p>
    <w:p>
      <w:pPr>
        <w:spacing w:after="0" w:line="53" w:lineRule="exact"/>
        <w:rPr>
          <w:rFonts w:ascii="Times New Roman" w:cs="Times New Roman" w:eastAsia="Times New Roman" w:hAnsi="Times New Roman"/>
          <w:sz w:val="18"/>
          <w:szCs w:val="18"/>
          <w:color w:val="auto"/>
        </w:rPr>
      </w:pPr>
    </w:p>
    <w:p>
      <w:pPr>
        <w:ind w:left="800" w:right="1040" w:hanging="283"/>
        <w:spacing w:after="0" w:line="266"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subject to regulation under the United States Foreign Corrupt Practices Act of 1977 ("FCPA"), U.K. Bribery Act of 2010 ("Bribery Act)", and comparable laws and regulations in other countries.</w:t>
      </w:r>
    </w:p>
    <w:p>
      <w:pPr>
        <w:spacing w:after="0" w:line="176"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right="140" w:firstLine="419"/>
        <w:spacing w:after="0" w:line="256" w:lineRule="auto"/>
        <w:rPr>
          <w:sz w:val="20"/>
          <w:szCs w:val="20"/>
          <w:color w:val="auto"/>
        </w:rPr>
      </w:pPr>
      <w:r>
        <w:rPr>
          <w:rFonts w:ascii="Times New Roman" w:cs="Times New Roman" w:eastAsia="Times New Roman" w:hAnsi="Times New Roman"/>
          <w:sz w:val="18"/>
          <w:szCs w:val="18"/>
          <w:color w:val="auto"/>
        </w:rPr>
        <w:t>Under current law, federal net operating losses (“NOLs”) incurred in tax years beginning after December 31, 2017, may be carried forward indefinitely, but the deductibility of such federal NOLs is limited to 80% of taxable income. It is uncertain if and to what extent various states will conform to federal tax laws. As of December 31, 2023, we had accumulated federal and state NOL carryforwards of approximately $235.5 million, and $201.6 million, respectively. Of the total federal NOL carryforwards, approximately $220.7 million were generated after January 1, 2018, and therefore do not expire under current law but can only be utilized to offset 80% of future taxable income. The remaining federal NOL carryforwards of $14.8 million will begin to expire in 2031, and state tax loss carryforwards continue to expire.</w:t>
      </w:r>
    </w:p>
    <w:p>
      <w:pPr>
        <w:spacing w:after="0" w:line="187"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application of existing, new and proposed tax laws and regulations could materially affect our tax obligations and effective tax rate.</w:t>
      </w:r>
    </w:p>
    <w:p>
      <w:pPr>
        <w:spacing w:after="0" w:line="51" w:lineRule="exact"/>
        <w:rPr>
          <w:sz w:val="20"/>
          <w:szCs w:val="20"/>
          <w:color w:val="auto"/>
        </w:rPr>
      </w:pPr>
    </w:p>
    <w:p>
      <w:pPr>
        <w:ind w:right="180" w:firstLine="419"/>
        <w:spacing w:after="0" w:line="266" w:lineRule="auto"/>
        <w:rPr>
          <w:sz w:val="20"/>
          <w:szCs w:val="20"/>
          <w:color w:val="auto"/>
        </w:rPr>
      </w:pPr>
      <w:r>
        <w:rPr>
          <w:rFonts w:ascii="Times New Roman" w:cs="Times New Roman" w:eastAsia="Times New Roman" w:hAnsi="Times New Roman"/>
          <w:sz w:val="18"/>
          <w:szCs w:val="18"/>
          <w:color w:val="auto"/>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48" w:name="page49"/>
    <w:bookmarkEnd w:id="48"/>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spacing w:after="0" w:line="176"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94"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auto"/>
        </w:rPr>
        <w:t>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Although there have been legislative proposals to repeal or defer the capitalization requirement to later years, there can be no assurance that the provision will be repealed or otherwise modified. Future guidance from the Internal Revenue Service and other tax authorities with respect to such legislation may affect us, and certain aspects of such legislation could be repealed or modified in future legislation.</w:t>
      </w:r>
    </w:p>
    <w:p>
      <w:pPr>
        <w:spacing w:after="0" w:line="187" w:lineRule="exact"/>
        <w:rPr>
          <w:sz w:val="20"/>
          <w:szCs w:val="20"/>
          <w:color w:val="auto"/>
        </w:rPr>
      </w:pPr>
    </w:p>
    <w:p>
      <w:pPr>
        <w:ind w:right="40" w:firstLine="419"/>
        <w:spacing w:after="0" w:line="253" w:lineRule="auto"/>
        <w:rPr>
          <w:sz w:val="20"/>
          <w:szCs w:val="20"/>
          <w:color w:val="auto"/>
        </w:rPr>
      </w:pPr>
      <w:r>
        <w:rPr>
          <w:rFonts w:ascii="Times New Roman" w:cs="Times New Roman" w:eastAsia="Times New Roman" w:hAnsi="Times New Roman"/>
          <w:sz w:val="18"/>
          <w:szCs w:val="18"/>
          <w:color w:val="auto"/>
        </w:rPr>
        <w:t>Our tax obligations and effective tax rate in the jurisdictions in which we conduct business could increase, including as a result of the base erosion and profit shifting (“BEPS”) project that is being led by the Organization for Economic Co-operation and Development (“OECD”), and other initiatives led by the OECD or the European Commission. For example, the OECD is leading work on proposals, commonly referred to as “BEPS 2.0,” which, if and to the extent implemented, would make important changes to the international tax system. These proposals are based on two “pillars,” involving the reallocation of taxing rights in respect of certain multinational enterprises above a fixed profit margin to the jurisdictions in which they carry on business (subject to certain revenue threshold rules which we do not currently meet but may meet in the future) (referred to as “Pillar One”) and imposing a minimum effective corporate tax rate on certain multinational enterprises (referred to as “Pillar Two”). A number of countries in which we conduct business, including through our European subsidiaries, have enacted with effect from January 1, 2024, or are in the process of enacting, core elements of the Pillar Two rules. Based on our current understanding of the minimum revenue thresholds contained in the Pillar Two proposal, we do not expect to fall within the scope of its rules in the short-to-medium term. We continue to monitor developments and evaluate the potential impacts and applicability of these new rules on our business.</w:t>
      </w:r>
    </w:p>
    <w:p>
      <w:pPr>
        <w:spacing w:after="0" w:line="18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similar worldwide anti-bribery laws, anti-boycott and anti-money laundering laws and export regulations, and the outcome of any investigation, by government agencies of possible violations by us of these laws and regulations could have a material adverse effect on our business.</w:t>
      </w:r>
    </w:p>
    <w:p>
      <w:pPr>
        <w:spacing w:after="0" w:line="67" w:lineRule="exact"/>
        <w:rPr>
          <w:sz w:val="20"/>
          <w:szCs w:val="20"/>
          <w:color w:val="auto"/>
        </w:rPr>
      </w:pPr>
    </w:p>
    <w:p>
      <w:pPr>
        <w:ind w:right="60" w:firstLine="419"/>
        <w:spacing w:after="0" w:line="253" w:lineRule="auto"/>
        <w:rPr>
          <w:sz w:val="20"/>
          <w:szCs w:val="20"/>
          <w:color w:val="auto"/>
        </w:rPr>
      </w:pPr>
      <w:r>
        <w:rPr>
          <w:rFonts w:ascii="Times New Roman" w:cs="Times New Roman" w:eastAsia="Times New Roman" w:hAnsi="Times New Roman"/>
          <w:sz w:val="18"/>
          <w:szCs w:val="18"/>
          <w:color w:val="auto"/>
        </w:rPr>
        <w:t>The FCPA prohibits companies and their intermediaries from making improper payments to foreign officials for the purpose of obtaining or retaining business. Other anti-corruption or anti-bribery laws, such as the Bribery Act,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49" w:name="page50"/>
    <w:bookmarkEnd w:id="49"/>
    <w:p>
      <w:pPr>
        <w:ind w:firstLine="419"/>
        <w:spacing w:after="0" w:line="255" w:lineRule="auto"/>
        <w:rPr>
          <w:sz w:val="20"/>
          <w:szCs w:val="20"/>
          <w:color w:val="auto"/>
        </w:rPr>
      </w:pPr>
      <w:r>
        <w:rPr>
          <w:rFonts w:ascii="Times New Roman" w:cs="Times New Roman" w:eastAsia="Times New Roman" w:hAnsi="Times New Roman"/>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business and reputation.</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Epidemic diseases, or the perception of their effects, have and may have an adverse effect on our business, financial condition, results of operations, and cash flows.</w:t>
      </w:r>
    </w:p>
    <w:p>
      <w:pPr>
        <w:spacing w:after="0" w:line="51" w:lineRule="exact"/>
        <w:rPr>
          <w:sz w:val="20"/>
          <w:szCs w:val="20"/>
          <w:color w:val="auto"/>
        </w:rPr>
      </w:pPr>
    </w:p>
    <w:p>
      <w:pPr>
        <w:ind w:right="80" w:firstLine="419"/>
        <w:spacing w:after="0" w:line="253" w:lineRule="auto"/>
        <w:rPr>
          <w:sz w:val="20"/>
          <w:szCs w:val="20"/>
          <w:color w:val="auto"/>
        </w:rPr>
      </w:pPr>
      <w:r>
        <w:rPr>
          <w:rFonts w:ascii="Times New Roman" w:cs="Times New Roman" w:eastAsia="Times New Roman" w:hAnsi="Times New Roman"/>
          <w:sz w:val="18"/>
          <w:szCs w:val="18"/>
          <w:color w:val="auto"/>
        </w:rPr>
        <w:t>Outbreaks of infectious diseases could divert medical resources and priorities towards the treatment of that disease. An outbreak of an infectious disease could also negatively affect the decision by ECPs to perform (and by patients to undergo) elective surgery or office-based procedures, which could decrease demand for procedures using our products and cause other disruptions to our business. Business disruptions could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ambulatory surgery centers and optometrists’ offices.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implants that are performed and have a material adverse effect on our business, financial condition, results of operations,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and any of our future licensors’, ability to obtain, maintain and protect our intellectual property rights.</w:t>
      </w:r>
    </w:p>
    <w:p>
      <w:pPr>
        <w:spacing w:after="0" w:line="121" w:lineRule="exact"/>
        <w:rPr>
          <w:sz w:val="20"/>
          <w:szCs w:val="20"/>
          <w:color w:val="auto"/>
        </w:rPr>
      </w:pPr>
    </w:p>
    <w:p>
      <w:pPr>
        <w:ind w:right="140" w:firstLine="41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and other intellectual property protection in the United States and other countries. We rely on patent protection, as well as a combination of copyright, trade secret and trademark laws, to protect the proprietary aspects of our technology and our brands, and to prevent others from developing and commercializing products that violate our intellectual property rights. However, these means may afford only limited protection and may not prevent our competitors from duplicating our products, prevent our competitors from gaining access to our proprietary information and technology, or permit us to gain or maintain a competitive advantage.</w:t>
      </w:r>
    </w:p>
    <w:p>
      <w:pPr>
        <w:spacing w:after="0" w:line="183" w:lineRule="exact"/>
        <w:rPr>
          <w:sz w:val="20"/>
          <w:szCs w:val="20"/>
          <w:color w:val="auto"/>
        </w:rPr>
      </w:pPr>
    </w:p>
    <w:p>
      <w:pPr>
        <w:ind w:right="100" w:firstLine="419"/>
        <w:spacing w:after="0" w:line="254"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products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 issued patents may not provide us with the proprietary protection or competitive advantages we are seeking. It is also possible that we will fail to identify patentable aspects of inventions made in the course of our development and commercialization activities before it is too late to obtain patent protection on them.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192" w:lineRule="exact"/>
        <w:rPr>
          <w:sz w:val="20"/>
          <w:szCs w:val="20"/>
          <w:color w:val="auto"/>
        </w:rPr>
      </w:pPr>
    </w:p>
    <w:p>
      <w:pPr>
        <w:ind w:right="140" w:firstLine="419"/>
        <w:spacing w:after="0" w:line="261" w:lineRule="auto"/>
        <w:rPr>
          <w:sz w:val="20"/>
          <w:szCs w:val="20"/>
          <w:color w:val="auto"/>
        </w:rPr>
      </w:pPr>
      <w:r>
        <w:rPr>
          <w:rFonts w:ascii="Times New Roman" w:cs="Times New Roman" w:eastAsia="Times New Roman" w:hAnsi="Times New Roman"/>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w:t>
      </w:r>
    </w:p>
    <w:p>
      <w:pPr>
        <w:spacing w:after="0" w:line="121" w:lineRule="exact"/>
        <w:rPr>
          <w:sz w:val="20"/>
          <w:szCs w:val="20"/>
          <w:color w:val="auto"/>
        </w:rPr>
      </w:pPr>
    </w:p>
    <w:p>
      <w:pPr>
        <w:ind w:right="140" w:firstLine="419"/>
        <w:spacing w:after="0" w:line="273" w:lineRule="auto"/>
        <w:rPr>
          <w:sz w:val="20"/>
          <w:szCs w:val="20"/>
          <w:color w:val="auto"/>
        </w:rPr>
      </w:pPr>
      <w:r>
        <w:rPr>
          <w:rFonts w:ascii="Times New Roman" w:cs="Times New Roman" w:eastAsia="Times New Roman" w:hAnsi="Times New Roman"/>
          <w:sz w:val="17"/>
          <w:szCs w:val="17"/>
          <w:color w:val="auto"/>
        </w:rPr>
        <w:t>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w:t>
      </w:r>
    </w:p>
    <w:p>
      <w:pPr>
        <w:spacing w:after="0" w:line="171"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87"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For example,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time-consuming, unsuccessful, and could interfere with our ability to sell and market our products.</w:t>
      </w:r>
    </w:p>
    <w:p>
      <w:pPr>
        <w:spacing w:after="0" w:line="51" w:lineRule="exact"/>
        <w:rPr>
          <w:sz w:val="20"/>
          <w:szCs w:val="20"/>
          <w:color w:val="auto"/>
        </w:rPr>
      </w:pPr>
    </w:p>
    <w:p>
      <w:pPr>
        <w:ind w:right="100" w:firstLine="419"/>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we may be required to enforce our patents to protect our technology. We may also be required to file suit to protect our trade secrets, or may be involved in litigation defending against claims of infringement of the rights of others. In addition, our patents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owned by us is invalid or unenforceable.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against us in defending against infringement could subject us to significant liabilities to third parties, require us to seek licenses from third parties and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w:t>
      </w:r>
    </w:p>
    <w:p>
      <w:pPr>
        <w:spacing w:after="0" w:line="194"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51" w:name="page52"/>
    <w:bookmarkEnd w:id="51"/>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176"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 xml:space="preserve">On September 16, 2021, we filed suit in the U.S. District Court for the District of Delaware (C.A. No. 1:21-cv-01317) alleging that Ivantis, Inc. directly or indirectly infringes U.S. Patent Nos. 8,287,482, 9,370,443, 9,486,361, and 10,314,742 previously issued to us by making, using, selling, and offering for sale the Hydrus® Microstent. On August 1, 2022, we filed an amended complaint adding Alcon Inc., Alcon Vision LLC, and Alcon Research, LLC as defendants and alleging that all defendants also directly or indirectly infringe U.S. Patent No. 11,389,328. Defendants filed counterclaims seeking declaratory judgments that the patents-in-suit are invalid or not infringed upon. A five-day jury trial is scheduled to commence in the first half of April 2024. Ivantis and Alcon filed petitions with the USPTO seeking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U.S. Patent Nos. 8,287,482, 9,370,443, 9,486,361, and 10,314,742 (IPR2022-01529, IPR2022-01530, IPR2022-01533, IPR2022-01540), each of which the U.S. Patent Office denied for raising prior art references and invalidity arguments that were cumulative of those previously considered by the Office. We are presently unable to predict the outcome of this lawsuit, or to reasonably estimate the potential financial impact of the lawsuit, which exposes us to the intellectual property litigation risk factors described 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other proprietary information, our business and competitive position may be harmed.</w:t>
      </w:r>
    </w:p>
    <w:p>
      <w:pPr>
        <w:spacing w:after="0" w:line="121" w:lineRule="exact"/>
        <w:rPr>
          <w:sz w:val="20"/>
          <w:szCs w:val="20"/>
          <w:color w:val="auto"/>
        </w:rPr>
      </w:pPr>
    </w:p>
    <w:p>
      <w:pPr>
        <w:ind w:right="180" w:firstLine="419"/>
        <w:spacing w:after="0" w:line="289" w:lineRule="auto"/>
        <w:rPr>
          <w:sz w:val="20"/>
          <w:szCs w:val="20"/>
          <w:color w:val="auto"/>
        </w:rPr>
      </w:pPr>
      <w:r>
        <w:rPr>
          <w:rFonts w:ascii="Times New Roman" w:cs="Times New Roman" w:eastAsia="Times New Roman" w:hAnsi="Times New Roman"/>
          <w:sz w:val="17"/>
          <w:szCs w:val="17"/>
          <w:color w:val="auto"/>
        </w:rPr>
        <w:t>In addition to seeking patent protection for our products,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w:t>
      </w:r>
    </w:p>
    <w:p>
      <w:pPr>
        <w:spacing w:after="0" w:line="158"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w:t>
      </w:r>
    </w:p>
    <w:p>
      <w:pPr>
        <w:spacing w:after="0" w:line="194" w:lineRule="exact"/>
        <w:rPr>
          <w:sz w:val="20"/>
          <w:szCs w:val="20"/>
          <w:color w:val="auto"/>
        </w:rPr>
      </w:pPr>
    </w:p>
    <w:p>
      <w:pPr>
        <w:ind w:right="140" w:firstLine="419"/>
        <w:spacing w:after="0" w:line="26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51"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biotechnology or pharmaceutical companies, including our competitors or potential competitors. Some of these employees and consultants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or other third parties. To the extent that our employees, consultants or contractors use intellectual property or proprietary information owned by others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52" w:name="page53"/>
    <w:bookmarkEnd w:id="52"/>
    <w:p>
      <w:pPr>
        <w:ind w:right="80"/>
        <w:spacing w:after="0" w:line="266" w:lineRule="auto"/>
        <w:rPr>
          <w:sz w:val="20"/>
          <w:szCs w:val="20"/>
          <w:color w:val="auto"/>
        </w:rPr>
      </w:pPr>
      <w:r>
        <w:rPr>
          <w:rFonts w:ascii="Times New Roman" w:cs="Times New Roman" w:eastAsia="Times New Roman" w:hAnsi="Times New Roman"/>
          <w:sz w:val="18"/>
          <w:szCs w:val="18"/>
          <w:color w:val="auto"/>
        </w:rPr>
        <w:t>in their work for us, disputes may arise as to the rights in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 as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current or future patents, patent applications, or other intellectual property, including as an inventor or co-inventor. We may be subject to ownership or inventorship disputes in the future arising, for example, from conflicting obligations of consultants, contractors or others who are involved in developing our products.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92"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A loss of key personnel or their work product could hamper or prevent our ability to commercialize our products, which could have an adverse effect on our business, financial condition and results of operations.</w:t>
      </w:r>
    </w:p>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5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business practices, and operations are subject to extensive government regulation and oversight in the United States and elsewhere.</w:t>
      </w:r>
    </w:p>
    <w:p>
      <w:pPr>
        <w:spacing w:after="0" w:line="121"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auto"/>
        </w:rPr>
        <w:t>Our products are regulated as medical devices by the FDA and foreign regulatory authorities. We and our products are subject to extensive regulation in the United States and elsewhere, including by state agencies, the FDA and the FDA’s foreign counterparts. The FDA and foreign regulatory agencies regulate, among other things, with respect to medical devices: design, development, manufacturing and release; laboratory, preclinical and clinical testing; labeling, packaging,</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t>content and language of instructions for use and storage; product safety and efficacy; establishment registration and device listing; marketing, sales and distribution; pre-market clearance, approval, and certification; service operations; record 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spacing w:after="0" w:line="180"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The law and regulations to which we are subject are complex, burdensome to understand and apply and have tended to become more stringent over time. Legal and regulatory changes could result in restrictions on our ability to carry on or expand our operations, higher than anticipated costs or lower than anticipated sales. The FDA and foreign regulatory authorities enforce these regulatory requirements through, among other means, periodic (unannounced) inspections and periodic reviews of public marketing and promotion materials. We do not know whether we will be found compliant in connection with any future FDA or foreign inspections or reviews. Failure to comply with applicable regulations could jeopardize our ability to sell our products and result in enforcement actions such as: warning letters; untitled letters; fines; injunctions; civil penalties; termination of distribution; recalls or seizures of products; delays in the introduction of products into the market; total or partial suspension of production; refusal to grant future clearances, approvals, or certifications; withdrawals or suspensions of current approvals or certifications, resulting in prohibitions on sales of our products; and in the most serious cases, criminal penalties.</w:t>
      </w:r>
    </w:p>
    <w:p>
      <w:pPr>
        <w:spacing w:after="0" w:line="1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or may be delayed in receiving, the necessary clearances, certifications or approvals for our future products or modifications to our current products, and failure to timely obtain necessary clearances, certifications or approvals for our future products or modifications to our current products would adversely affect our ability to grow our business.</w:t>
      </w:r>
    </w:p>
    <w:p>
      <w:pPr>
        <w:spacing w:after="0" w:line="67" w:lineRule="exact"/>
        <w:rPr>
          <w:sz w:val="20"/>
          <w:szCs w:val="20"/>
          <w:color w:val="auto"/>
        </w:rPr>
      </w:pPr>
    </w:p>
    <w:p>
      <w:pPr>
        <w:ind w:right="80" w:firstLine="419"/>
        <w:spacing w:after="0" w:line="256" w:lineRule="auto"/>
        <w:rPr>
          <w:sz w:val="20"/>
          <w:szCs w:val="20"/>
          <w:color w:val="auto"/>
        </w:rPr>
      </w:pPr>
      <w:r>
        <w:rPr>
          <w:rFonts w:ascii="Times New Roman" w:cs="Times New Roman" w:eastAsia="Times New Roman" w:hAnsi="Times New Roman"/>
          <w:sz w:val="18"/>
          <w:szCs w:val="18"/>
          <w:color w:val="auto"/>
        </w:rPr>
        <w:t>In the U.S., before we can market a new medical device, or a new use of, new claim for or significant modification to an existing product, we must first receive either clearance under Section 510(k) of the FDCA, or 510(k), or approval of a pre-market approval application, or PMA, from the FDA, unless an exemption from pre-market review applies.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87" w:lineRule="exact"/>
        <w:rPr>
          <w:sz w:val="20"/>
          <w:szCs w:val="20"/>
          <w:color w:val="auto"/>
        </w:rPr>
      </w:pPr>
    </w:p>
    <w:p>
      <w:pPr>
        <w:ind w:right="20" w:firstLine="419"/>
        <w:spacing w:after="0" w:line="252" w:lineRule="auto"/>
        <w:rPr>
          <w:sz w:val="20"/>
          <w:szCs w:val="20"/>
          <w:color w:val="auto"/>
        </w:rPr>
      </w:pPr>
      <w:r>
        <w:rPr>
          <w:rFonts w:ascii="Times New Roman" w:cs="Times New Roman" w:eastAsia="Times New Roman" w:hAnsi="Times New Roman"/>
          <w:sz w:val="18"/>
          <w:szCs w:val="18"/>
          <w:color w:val="auto"/>
        </w:rPr>
        <w:t xml:space="preserve">In the U.S., we have obtained clearance from the FDA of OMNI and TearCare through the 510(k) clearance process and </w:t>
      </w:r>
      <w:r>
        <w:rPr>
          <w:rFonts w:ascii="Times New Roman" w:cs="Times New Roman" w:eastAsia="Times New Roman" w:hAnsi="Times New Roman"/>
          <w:sz w:val="18"/>
          <w:szCs w:val="18"/>
          <w:color w:val="231F20"/>
        </w:rPr>
        <w:t>SION is registered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FDA as a Class I 510(k) exempt device</w:t>
      </w:r>
      <w:r>
        <w:rPr>
          <w:rFonts w:ascii="Times New Roman" w:cs="Times New Roman" w:eastAsia="Times New Roman" w:hAnsi="Times New Roman"/>
          <w:sz w:val="18"/>
          <w:szCs w:val="18"/>
          <w:color w:val="000000"/>
        </w:rPr>
        <w:t>. Any further modification to these products or their intended uses may require us to submit new regulatory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filings, including new 510(k) premarket notifications to obtain clearance, or PMA submissions to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If the FDA disagrees with our determination and requires us to submit new 510(k) notifications or PMA applications for modifications to our products for which we have concluded that new clearances or approvals are unnecessary, we may be required to cease marketing or to recall the modified product until we obtain clearance or approval, and we may be subject to significant regulatory fines or penalties. Both the PMA approval and the 510(k) clearance process can be expensive, lengthy and uncertain. The 510(k) clearance process usually takes from three to 12 months, whereas the process of obtaining a PMA generally takes from one to three years, or even longer, from the time the application is submitted to the FDA. Despite the time, effort and cost, a device may not be approved or cleared by the FDA.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 Further, regulatory enforcement or inquiries, or other increased scrutiny on us, could dissuade some customers from using our products and adversely affect our reputation and the perceived safety or efficacy of our products. In addition, even if we are granted regulatory clearances or approvals, they may include significant limitations on the indicated uses for the device, which may limit the market for the device.</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225" w:lineRule="exact"/>
        <w:rPr>
          <w:sz w:val="20"/>
          <w:szCs w:val="20"/>
          <w:color w:val="auto"/>
        </w:rPr>
      </w:pPr>
    </w:p>
    <w:p>
      <w:pPr>
        <w:ind w:left="5420" w:right="1620" w:hanging="4903"/>
        <w:spacing w:after="0" w:line="657"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239395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54" w:name="page55"/>
    <w:bookmarkEnd w:id="54"/>
    <w:p>
      <w:pPr>
        <w:ind w:left="800" w:right="720" w:hanging="283"/>
        <w:spacing w:after="0" w:line="282" w:lineRule="auto"/>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conduct of our clinical trials or the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17" w:lineRule="exact"/>
        <w:rPr>
          <w:rFonts w:ascii="Times New Roman" w:cs="Times New Roman" w:eastAsia="Times New Roman" w:hAnsi="Times New Roman"/>
          <w:sz w:val="18"/>
          <w:szCs w:val="18"/>
          <w:color w:val="auto"/>
        </w:rPr>
      </w:pPr>
    </w:p>
    <w:p>
      <w:pPr>
        <w:ind w:left="800" w:right="1120" w:hanging="283"/>
        <w:spacing w:after="0" w:line="282" w:lineRule="auto"/>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clearance or approval.</w:t>
      </w:r>
    </w:p>
    <w:p>
      <w:pPr>
        <w:spacing w:after="0" w:line="162" w:lineRule="exact"/>
        <w:rPr>
          <w:sz w:val="20"/>
          <w:szCs w:val="20"/>
          <w:color w:val="auto"/>
        </w:rPr>
      </w:pPr>
    </w:p>
    <w:p>
      <w:pPr>
        <w:ind w:firstLine="419"/>
        <w:spacing w:after="0" w:line="268" w:lineRule="auto"/>
        <w:rPr>
          <w:sz w:val="20"/>
          <w:szCs w:val="20"/>
          <w:color w:val="auto"/>
        </w:rPr>
      </w:pPr>
      <w:r>
        <w:rPr>
          <w:rFonts w:ascii="Times New Roman" w:cs="Times New Roman" w:eastAsia="Times New Roman" w:hAnsi="Times New Roman"/>
          <w:sz w:val="17"/>
          <w:szCs w:val="17"/>
          <w:color w:val="auto"/>
        </w:rPr>
        <w:t>Subject to the transitional provisions and in order to sell our products in EU member states, our products must comply with the general safety and performance requirements of the EU MDR, which repeals and replaces the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spacing w:after="0" w:line="400"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MDR or cause a substantial change to the intended use for which the device has been CE marked. The notified body will then assess the planned changes and verify whether they affect the products’ ongoing conformity with the EU MDR. If the assessment is favorable, the notified body will issue a new certificate of conformity or an addendum to the existing certificate attesting compliance with the general safety and performance requirements and quality system requirements laid down in the Annexes to the MDR.</w:t>
      </w:r>
    </w:p>
    <w:p>
      <w:pPr>
        <w:spacing w:after="0" w:line="187"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auto"/>
        </w:rPr>
        <w:t>On December 5, 2023, the Company received approval of the OMNI Surgical System family of products under the EU Medical Device Regulation ("EU MDR"), fulfilling these requirements. As a result of the transition towards the new regime, notified body review times have lengthened, and obtaining re-certification of our products, seeking product introductions or modifications could be delayed or canceled, which could adversely affect our ability to grow our business in the EU.</w:t>
      </w:r>
    </w:p>
    <w:p>
      <w:pPr>
        <w:spacing w:after="0" w:line="180" w:lineRule="exact"/>
        <w:rPr>
          <w:sz w:val="20"/>
          <w:szCs w:val="20"/>
          <w:color w:val="auto"/>
        </w:rPr>
      </w:pPr>
    </w:p>
    <w:p>
      <w:pPr>
        <w:ind w:right="500" w:firstLine="41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EEA. Non-compliance with the above requirements would also prevent us from selling our products in these three countries.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liability if it is determined that we are promoting off-label uses of our products in violation of federal and state regulations in the United States or elsewhere.</w:t>
      </w:r>
    </w:p>
    <w:p>
      <w:pPr>
        <w:spacing w:after="0" w:line="51" w:lineRule="exact"/>
        <w:rPr>
          <w:sz w:val="20"/>
          <w:szCs w:val="20"/>
          <w:color w:val="auto"/>
        </w:rPr>
      </w:pPr>
    </w:p>
    <w:p>
      <w:pPr>
        <w:ind w:right="140" w:firstLine="419"/>
        <w:spacing w:after="0" w:line="266"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55" w:name="page56"/>
    <w:bookmarkEnd w:id="55"/>
    <w:p>
      <w:pPr>
        <w:spacing w:after="0" w:line="254" w:lineRule="auto"/>
        <w:rPr>
          <w:sz w:val="20"/>
          <w:szCs w:val="20"/>
          <w:color w:val="auto"/>
        </w:rPr>
      </w:pPr>
      <w:r>
        <w:rPr>
          <w:rFonts w:ascii="Times New Roman" w:cs="Times New Roman" w:eastAsia="Times New Roman" w:hAnsi="Times New Roman"/>
          <w:sz w:val="18"/>
          <w:szCs w:val="18"/>
          <w:color w:val="auto"/>
        </w:rPr>
        <w:t>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51" w:lineRule="exact"/>
        <w:rPr>
          <w:sz w:val="20"/>
          <w:szCs w:val="20"/>
          <w:color w:val="auto"/>
        </w:rPr>
      </w:pPr>
    </w:p>
    <w:p>
      <w:pPr>
        <w:ind w:right="20" w:firstLine="419"/>
        <w:spacing w:after="0" w:line="252" w:lineRule="auto"/>
        <w:rPr>
          <w:sz w:val="20"/>
          <w:szCs w:val="20"/>
          <w:color w:val="auto"/>
        </w:rPr>
      </w:pPr>
      <w:r>
        <w:rPr>
          <w:rFonts w:ascii="Times New Roman" w:cs="Times New Roman" w:eastAsia="Times New Roman" w:hAnsi="Times New Roman"/>
          <w:sz w:val="18"/>
          <w:szCs w:val="18"/>
          <w:color w:val="auto"/>
        </w:rPr>
        <w:t>Even though we have obtained clearance from the FDA for OMNI and TearCare and registration for SION in the U.S. and certifications for OMNI in the EU, we are subject to ongoing and pervasive regulatory requirements governing, among other things, the manufacture, marketing, advertising, medical device reporting, sale, promotion, import, export, registration, and listing of devices. For example, we must submit periodic reports to the FDA as a condition of 510(k) clearance.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 In addition, we must maintain an active registration of our facilities and listing of our products in order to legally market them in the United States. If the FDA were to disagree with our product listing or otherwise take issue with our registration and listing compliance, it could result in delisting of our products or other enforcement action resulting in potential inability to market our products. For example, in October 2020, the FDA communicated to us that the previous version of our TearCare System may not have been eligible for an exemption from 510(k) clearance. In response to that communication, among other things, we submitted a 510(k) premarket notification seeking clearance for TearCare in November 2020. The FDA requested several safety tests and modifications to this submission which we believe would have required additional time to complete beyond the designated review process. We voluntarily withdrew this submission in May 2021 to allow us to comply with the FDA’s requests in a comprehensive manner. We completed the additional testing and modifications requested by the FDA and received 510(k) clearance of TearCare for an expanded indication for use in December 2021. In February 2022, we received further communications from the FDA regarding the appropriateness of the marketing and distribution of our legacy TearCare Systems as a 510(k)-exempt device without premarket notification to and authorization from the FDA. We conducted a voluntary recall of our legacy TearCare system because the FDA informed us that the legacy system’s advanced technology made it ineligible for an exemption from 510(k) clearance. Further, this voluntary recall did not involve the new version of the TearCare system, which has received premarket clearance from the FDA and will remain on the market. We provided notice to the FDA in the fourth quarter of 2022 that we had completed all activities associated with the recall and had closed our files.</w:t>
      </w:r>
    </w:p>
    <w:p>
      <w:pPr>
        <w:spacing w:after="0" w:line="189"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 or consequences:</w:t>
      </w:r>
    </w:p>
    <w:p>
      <w:pPr>
        <w:spacing w:after="0" w:line="183" w:lineRule="exact"/>
        <w:rPr>
          <w:sz w:val="20"/>
          <w:szCs w:val="20"/>
          <w:color w:val="auto"/>
        </w:rPr>
      </w:pPr>
    </w:p>
    <w:p>
      <w:pPr>
        <w:ind w:left="800" w:hanging="283"/>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or adverse publicity;</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800" w:right="980" w:hanging="283"/>
        <w:spacing w:after="0" w:line="282"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or approvals or foreign clearance, certification or approval of new products, new intended uses, or modifications to existing products;</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56" w:name="page57"/>
    <w:bookmarkEnd w:id="56"/>
    <w:p>
      <w:pPr>
        <w:ind w:left="800" w:right="900" w:hanging="283"/>
        <w:spacing w:after="0" w:line="266"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510(k) clearances or certifications or Class I registrations, or requirements for new 510(k) or PMA clearances, certifications, or approvals, resulting in prohibitions on sales of our products pending such further clearance or certification;</w:t>
      </w:r>
    </w:p>
    <w:p>
      <w:pPr>
        <w:spacing w:after="0" w:line="6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 In addition, the FDA and foreign regulatory authorities may change their clearance or certification policies, adopt additional regulations or revise existing regulations, or take other actions, which may prevent or delay clearance, approval, or certification of our future products under development or impact our ability to modify our currently cleared or certified products on a timely basis. Such policy or regulatory changes could impose additional requirements upon us that could delay our ability to obtain new clearances, approvals, or certifications, increase the costs of compliance or restrict our ability to maintain our clearances and certifications of our current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recall or suspension of our products, or the discovery of serious safety issues with our products, could have a significant negative impact on us.</w:t>
      </w:r>
    </w:p>
    <w:p>
      <w:pPr>
        <w:spacing w:after="0" w:line="121" w:lineRule="exact"/>
        <w:rPr>
          <w:sz w:val="20"/>
          <w:szCs w:val="20"/>
          <w:color w:val="auto"/>
        </w:rPr>
      </w:pPr>
    </w:p>
    <w:p>
      <w:pPr>
        <w:ind w:right="80" w:firstLine="419"/>
        <w:spacing w:after="0" w:line="252"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QSR and, subject to transitional provisions, the EU MDR, both of which are complex regulatory schemes that cover the procedures and documentation of the design, testing, production, process controls, quality assurance, labeling, packaging, handling, storage, distribution, installation, servicing and shipping of medical devices. Furthermore, we are required to maintain, and to verify that our suppliers maintain, facilities, procedures and operations that comply with our quality standards and applicable regulatory requirements. Our products are also subject to similar state regulations, various laws and regulations of foreign countries governing manufacturing and a requirement for adherence to industry standards of the International Standards Organization ("ISO") in connection with our medical device operations outside of the United States. Failure by us or one of our third-party suppliers to comply with applicable FDA or foreign requirements or later discovery of previously unknown problems with our products or manufacturing processes could result in, among other things civil penalties, suspension or withdrawal of clearances, seizures or recalls of our products, total or partial suspension of production or distribution, refusal to grant pending or future clearances, approvals, or certifications for our products, clinical holds, refusal to permit the import or export of our products, and criminal prosecution. Furthermore, regulatory authorities have broad discretion to require the recall or suspension of a product or to require that manufacturers alert customers of safety risks. A government-mandated or voluntary recall or suspension by us, one of our distributors or any of our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96"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Further, under the FDA’s medical device reporting regulations and similar foreign regulations,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If we initiate a correction or removal for our products to reduce a risk to health posed by them or to remedy a violation of law that may present a risk to health, we would be required to submit a report to the FDA and may be required to submit similar notifications to other regulatory authorities. This report could lead to increased scrutiny by the FDA, other foreign regulatory agencies and our customers regarding the quality and safety of our products. Furthermore, the submission of these reports, to the extent made publicly available in accordance with FDA regulations, could be used by competitors against us or otherwise publicized and cause physicians to delay or cancel product orders, which will harm our reputation. Depending on the corrective action we take to redress a product’s deficiencies or defects, the FDA or FDA’s foreign counterparts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57" w:name="page58"/>
    <w:bookmarkEnd w:id="57"/>
    <w:p>
      <w:pPr>
        <w:ind w:right="860"/>
        <w:spacing w:after="0" w:line="282" w:lineRule="auto"/>
        <w:rPr>
          <w:sz w:val="20"/>
          <w:szCs w:val="20"/>
          <w:color w:val="auto"/>
        </w:rPr>
      </w:pPr>
      <w:r>
        <w:rPr>
          <w:rFonts w:ascii="Times New Roman" w:cs="Times New Roman" w:eastAsia="Times New Roman" w:hAnsi="Times New Roman"/>
          <w:sz w:val="18"/>
          <w:szCs w:val="18"/>
          <w:color w:val="auto"/>
        </w:rPr>
        <w:t>problems associated with our devices, we may face additional regulatory enforcement action, including FDA warning letters, product seizure, injunctions, administrative penalties or civil or criminal fines.</w:t>
      </w:r>
    </w:p>
    <w:p>
      <w:pPr>
        <w:spacing w:after="0" w:line="162"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We have received ISO 13485:2016 certification for our quality management system. ISO certification generally includes recertification audits every third year, scheduled annual surveillance audits and periodic unannounced audits.</w:t>
      </w:r>
    </w:p>
    <w:p>
      <w:pPr>
        <w:spacing w:after="0" w:line="162"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We can provide no assurance that we will be found to remain in compliance with the QSR or ISO standards upon a regulator’s review. If the FDA, other regulator, or notified body, inspect or audit any of our manufacturers’ facilities and discovers compliance problems, we may have to cease manufacturing and product distribution until we can take the appropriate remedial steps to correct the audit findings. Any of the actions noted above could significantly and negatively affect supply of our products. Taking corrective action may be expensive, time-consuming and a distraction for management. If any of these events occurs, our reputation could be harmed, we could be exposed to product liability claims and we could lose customers and experience reduced sales and increased costs.</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applicable regulatory registrations, clearances, certifications or approvals for our products, we will be unable to market and sell our products outside of the U.S.</w:t>
      </w:r>
    </w:p>
    <w:p>
      <w:pPr>
        <w:spacing w:after="0" w:line="5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We intend to expand our sales operations outside of the U.S. Sales of our products outside of the U.S. are subject to foreign regulatory requirements that vary widely from country to country. In addition, the FDA regulates exports of medical devices from the U.S. While the regulations of some countries may not impose barriers to marketing and selling our products or only require notification, others require that we obtain the clearance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regulatory clearances or approvals before we are permitted to sell the modified product.</w:t>
      </w:r>
    </w:p>
    <w:p>
      <w:pPr>
        <w:spacing w:after="0" w:line="188" w:lineRule="exact"/>
        <w:rPr>
          <w:sz w:val="20"/>
          <w:szCs w:val="20"/>
          <w:color w:val="auto"/>
        </w:rPr>
      </w:pPr>
    </w:p>
    <w:p>
      <w:pPr>
        <w:ind w:right="200" w:firstLine="419"/>
        <w:spacing w:after="0" w:line="282" w:lineRule="auto"/>
        <w:rPr>
          <w:sz w:val="20"/>
          <w:szCs w:val="20"/>
          <w:color w:val="auto"/>
        </w:rPr>
      </w:pPr>
      <w:r>
        <w:rPr>
          <w:rFonts w:ascii="Times New Roman" w:cs="Times New Roman" w:eastAsia="Times New Roman" w:hAnsi="Times New Roman"/>
          <w:sz w:val="18"/>
          <w:szCs w:val="18"/>
          <w:color w:val="auto"/>
        </w:rPr>
        <w:t>In addition, we may not continue to meet the quality and safety standards required to maintain the authorizations that we have received. If we are unable to maintain our authorizations in a particular country, we will no longer be able to sell the applicable product in that country.</w:t>
      </w:r>
    </w:p>
    <w:p>
      <w:pPr>
        <w:spacing w:after="0" w:line="162" w:lineRule="exact"/>
        <w:rPr>
          <w:sz w:val="20"/>
          <w:szCs w:val="20"/>
          <w:color w:val="auto"/>
        </w:rPr>
      </w:pPr>
    </w:p>
    <w:p>
      <w:pPr>
        <w:ind w:right="120" w:firstLine="419"/>
        <w:spacing w:after="0" w:line="258"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spacing w:after="0" w:line="17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federal, state and foreign fraud and abuse laws, health information privacy and security laws and transparency laws that could subject us to substantial penalties. Additionally, any challenge to or investigation into our practices under these laws could cause adverse publicity and be costly to respond to, and thus could harm our business.</w:t>
      </w:r>
    </w:p>
    <w:p>
      <w:pPr>
        <w:spacing w:after="0" w:line="67"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may also be subject to privacy and security regulation related to patient, customer, employee and other third-party information by both the federal government and the states and foreign jurisdictions in which we conduct our business. The healthcare laws and regulations that may affect our ability to operate include, but are not limited to:</w:t>
      </w:r>
    </w:p>
    <w:p>
      <w:pPr>
        <w:spacing w:after="0" w:line="183" w:lineRule="exact"/>
        <w:rPr>
          <w:sz w:val="20"/>
          <w:szCs w:val="20"/>
          <w:color w:val="auto"/>
        </w:rPr>
      </w:pPr>
    </w:p>
    <w:p>
      <w:pPr>
        <w:ind w:left="800" w:right="700" w:hanging="283"/>
        <w:spacing w:after="0" w:line="261"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offering, receiving or providing remuneration (including any kickback, bribe or rebate), directly or indirectly, in cash or in kind, to induce either the referral of an individual or furnishing or arranging for a good or service, for which payment may be made, in whole or in part, under federal healthcare programs, such as Medicare and Medicaid;</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58" w:name="page59"/>
    <w:bookmarkEnd w:id="58"/>
    <w:p>
      <w:pPr>
        <w:jc w:val="both"/>
        <w:ind w:left="800" w:right="620" w:hanging="283"/>
        <w:spacing w:after="0" w:line="261" w:lineRule="auto"/>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civil and criminal false claims laws and civil monetary penalties laws, including the federal civil False Claims Act, which prohibit, among other things, individuals and entities from knowingly presenting, or causing to be presented, claims for payment from Medicare, Medicaid, state Medicaid programs, other third-party payors, or other federal healthcare programs that are false or fraudulent;</w:t>
      </w:r>
    </w:p>
    <w:p>
      <w:pPr>
        <w:spacing w:after="0" w:line="71" w:lineRule="exact"/>
        <w:rPr>
          <w:rFonts w:ascii="Times New Roman" w:cs="Times New Roman" w:eastAsia="Times New Roman" w:hAnsi="Times New Roman"/>
          <w:sz w:val="18"/>
          <w:szCs w:val="18"/>
          <w:color w:val="auto"/>
        </w:rPr>
      </w:pPr>
    </w:p>
    <w:p>
      <w:pPr>
        <w:ind w:left="800" w:right="740" w:hanging="283"/>
        <w:spacing w:after="0" w:line="289" w:lineRule="auto"/>
        <w:tabs>
          <w:tab w:leader="none" w:pos="8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individuals and entities from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49" w:lineRule="exact"/>
        <w:rPr>
          <w:rFonts w:ascii="Times New Roman" w:cs="Times New Roman" w:eastAsia="Times New Roman" w:hAnsi="Times New Roman"/>
          <w:sz w:val="17"/>
          <w:szCs w:val="17"/>
          <w:color w:val="auto"/>
        </w:rPr>
      </w:pPr>
    </w:p>
    <w:p>
      <w:pPr>
        <w:ind w:left="800" w:right="940" w:hanging="283"/>
        <w:spacing w:after="0" w:line="282" w:lineRule="auto"/>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statutes that prohibit, among other things,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800" w:right="620" w:hanging="283"/>
        <w:spacing w:after="0" w:line="258" w:lineRule="auto"/>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disclosure laws, such as the Physician Payments Sunshine Act, which require certain applicable manufacturers of drugs, devices, biologics and medical supplies for which payment is available under Medicare, Medicaid or CHIP to report annually to the CMS information related to payments and other transfers of value to physicians, which is defined broadly to include other healthcare providers, and teaching hospitals, and to report annually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800" w:right="740" w:hanging="283"/>
        <w:spacing w:after="0" w:line="256" w:lineRule="auto"/>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Act"),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79"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117" w:lineRule="exact"/>
        <w:rPr>
          <w:rFonts w:ascii="Times New Roman" w:cs="Times New Roman" w:eastAsia="Times New Roman" w:hAnsi="Times New Roman"/>
          <w:sz w:val="18"/>
          <w:szCs w:val="18"/>
          <w:color w:val="auto"/>
        </w:rPr>
      </w:pPr>
    </w:p>
    <w:p>
      <w:pPr>
        <w:ind w:left="800" w:right="940" w:hanging="283"/>
        <w:spacing w:after="0" w:line="282" w:lineRule="auto"/>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regulations regarding billing and claims payment applicable to our products and regulatory agencies enforcing those laws and regulations; and</w:t>
      </w:r>
    </w:p>
    <w:p>
      <w:pPr>
        <w:spacing w:after="0" w:line="53" w:lineRule="exact"/>
        <w:rPr>
          <w:rFonts w:ascii="Times New Roman" w:cs="Times New Roman" w:eastAsia="Times New Roman" w:hAnsi="Times New Roman"/>
          <w:sz w:val="18"/>
          <w:szCs w:val="18"/>
          <w:color w:val="auto"/>
        </w:rPr>
      </w:pPr>
    </w:p>
    <w:p>
      <w:pPr>
        <w:ind w:left="800" w:right="620" w:hanging="283"/>
        <w:spacing w:after="0" w:line="253" w:lineRule="auto"/>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GDPR, governing the privacy and security of personal (including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194"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These laws and regulations, among other things, constrain our business, marketing and other promotional and research activities by limiting the kinds of financial arrangements, including sales programs, we may have with hospitals, ambulatory surgery centers, physicians or other potential purchasers of our products. We have entered into consulting agreements with physicians, including some who have ownership interests in us, which could be viewed as influencing the purchase of or use of our products in procedures they perform. Compensation under some of these arrangements includes the provision of stock or stock options.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40" w:top="1093" w:right="559" w:bottom="1440" w:gutter="0" w:footer="0" w:header="0"/>
        </w:sectPr>
      </w:pPr>
    </w:p>
    <w:bookmarkStart w:id="59" w:name="page60"/>
    <w:bookmarkEnd w:id="59"/>
    <w:p>
      <w:pPr>
        <w:ind w:firstLine="419"/>
        <w:spacing w:after="0" w:line="255" w:lineRule="auto"/>
        <w:rPr>
          <w:sz w:val="20"/>
          <w:szCs w:val="20"/>
          <w:color w:val="auto"/>
        </w:rPr>
      </w:pPr>
      <w:r>
        <w:rPr>
          <w:rFonts w:ascii="Times New Roman" w:cs="Times New Roman" w:eastAsia="Times New Roman" w:hAnsi="Times New Roman"/>
          <w:sz w:val="18"/>
          <w:szCs w:val="18"/>
          <w:color w:val="auto"/>
        </w:rPr>
        <w:t>To enforce compliance with the healthcare regulatory laws, certain enforcement bodies have recently increased their scrutiny of interactions between healthcare companies and healthcare providers, which has led to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financial condition and results of operations. Even an unsuccessful challenge or investigation into our practices could cause adverse publicity, and be costly to respond to.</w:t>
      </w:r>
    </w:p>
    <w:p>
      <w:pPr>
        <w:spacing w:after="0" w:line="189" w:lineRule="exact"/>
        <w:rPr>
          <w:sz w:val="20"/>
          <w:szCs w:val="20"/>
          <w:color w:val="auto"/>
        </w:rPr>
      </w:pPr>
    </w:p>
    <w:p>
      <w:pPr>
        <w:ind w:right="80" w:firstLine="419"/>
        <w:spacing w:after="0" w:line="253" w:lineRule="auto"/>
        <w:rPr>
          <w:sz w:val="20"/>
          <w:szCs w:val="20"/>
          <w:color w:val="auto"/>
        </w:rPr>
      </w:pPr>
      <w:r>
        <w:rPr>
          <w:rFonts w:ascii="Times New Roman" w:cs="Times New Roman" w:eastAsia="Times New Roman" w:hAnsi="Times New Roman"/>
          <w:sz w:val="18"/>
          <w:szCs w:val="18"/>
          <w:color w:val="auto"/>
        </w:rPr>
        <w:t>Our activities, including those relating to providing billing, coding, coverage and reimbursement information about procedures using our products to our customers and the sale and marketing of our products, may be subject to scrutiny under these laws. The growth of our business and sales organization and our expansion outside of the United States may increase the potential of violating these laws or our internal policies and procedures. Any action brought against us for violation of these or other laws or regulations, even if we successfully defend against it, could cause us to incur significant legal expenses and divert our management’s attention from the operation of our business, and could result in a material adverse effect on our reputation. 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and disgorgement and we could be required to curtail, restructure or cease our operations. Any of the foregoing consequences will negatively affect our business, financial condition and results of operations.</w:t>
      </w:r>
    </w:p>
    <w:p>
      <w:pPr>
        <w:spacing w:after="0" w:line="194" w:lineRule="exact"/>
        <w:rPr>
          <w:sz w:val="20"/>
          <w:szCs w:val="20"/>
          <w:color w:val="auto"/>
        </w:rPr>
      </w:pPr>
    </w:p>
    <w:p>
      <w:pPr>
        <w:ind w:right="40" w:firstLine="419"/>
        <w:spacing w:after="0" w:line="266"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or harm our reputation or business.</w:t>
      </w:r>
    </w:p>
    <w:p>
      <w:pPr>
        <w:spacing w:after="0" w:line="51" w:lineRule="exact"/>
        <w:rPr>
          <w:sz w:val="20"/>
          <w:szCs w:val="20"/>
          <w:color w:val="auto"/>
        </w:rPr>
      </w:pPr>
    </w:p>
    <w:p>
      <w:pPr>
        <w:ind w:right="80" w:firstLine="419"/>
        <w:spacing w:after="0" w:line="255" w:lineRule="auto"/>
        <w:rPr>
          <w:sz w:val="20"/>
          <w:szCs w:val="20"/>
          <w:color w:val="auto"/>
        </w:rPr>
      </w:pPr>
      <w:r>
        <w:rPr>
          <w:rFonts w:ascii="Times New Roman" w:cs="Times New Roman" w:eastAsia="Times New Roman" w:hAnsi="Times New Roman"/>
          <w:sz w:val="18"/>
          <w:szCs w:val="18"/>
          <w:color w:val="auto"/>
        </w:rPr>
        <w:t>In the conduct of our business, we may at times process personal information, including health-related personal information. The U.S. federal government and various states and regulatory agencies, including the FDA, have adopted or proposed laws, regulations, guidelines and rules for the collection, distribution, use and storage of personal information of individuals. These laws include HIPAA and related regulations, as well as the CCPA, CPA, and similar state laws. In addition, certain state and non-U.S. laws, such as GDPR, govern the privacy and security of personal (including health) data in certain circumstances, some of which are more stringent than U.S. federal law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w:t>
      </w:r>
    </w:p>
    <w:p>
      <w:pPr>
        <w:spacing w:after="0" w:line="189"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Any actual or perceived failure by us or the third parties with whom we work to comply with privacy or security laws, policies, legal obligations or industry standards, or any security incident that results in the unauthorized release or transfer of personally identifiable information, may result in governmental enforcement actions and investigations including by European Data Protection Authorities and U.S. federal and state regulatory authorities, fines and penalties, litigation and/or adverse publicity, including by consumer advocacy groups, and could cause our customers, their patients and other healthcare professionals to lose trust in us, which could harm our reputation and have a material adverse effect on our business, financial condition and results of operations.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other commercial partners may engage in misconduct or other improper activities, including non-compliance with regulatory standards and requirements.</w:t>
      </w:r>
    </w:p>
    <w:p>
      <w:pPr>
        <w:spacing w:after="0" w:line="51" w:lineRule="exact"/>
        <w:rPr>
          <w:sz w:val="20"/>
          <w:szCs w:val="20"/>
          <w:color w:val="auto"/>
        </w:rPr>
      </w:pPr>
    </w:p>
    <w:p>
      <w:pPr>
        <w:ind w:right="200" w:firstLine="419"/>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consultants, distributors and other commercial partners and business associates may engage in fraudulent or other illegal activity. Misconduct by these parties could include intentional, reckless or negligent conduct or other unauthorized activities that violate federal and/or state laws and regulations, such as laws or regulations requiring the reporting of true, complete and accurate information to such regulators, manufacturing standards, healthcare fraud and abuse laws and regulations in the U.S. and internationally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093" w:right="43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t>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operations, any of which could adversely affect our business, financial condition and results of operations.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environmental laws and regulations could be expensive, and the failure to comply with these laws and regulations could subject us to significant liability.</w:t>
      </w:r>
    </w:p>
    <w:p>
      <w:pPr>
        <w:spacing w:after="0" w:line="5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Our research and development operations involve the use of hazardous substances, such as isopropyl alcohol and various adhesives. We are subject to a variety of federal, state, local and foreign environmental laws and regulations relating to the storage, use, handling, generation, manufacture, treatment, discharge and disposal of, hazardous substances. Our products may also contain hazardous substances, and they are subject to laws and regulations relating to labeling requirements and to their sale, collection, recycling, treatment, storage and disposal. Compliance with these laws and regulations may be expensive and noncompliance could result in substantial fines and penalties. Environmental laws and regulations also impose liability for the remediation of releases of hazardous substances into the environment and for personal injuries resulting from exposure to hazardous substances, and they can give rise to substantial remediation costs and to third-party claims, including for property damage and personal injury. Liability under environmental laws and regulations can be joint and several and without regard to fault or negligence, and they tend to become more stringent over time, imposing greater compliance costs and increased risks and penalties associated with violations. We cannot assure you that violations of these laws and regulations, or releases of or exposure to hazardous substances, will not occur in the future or have not occurred in the past, including as a result of human error, accidents, equipment failure or other causes. The costs of complying with environmental laws and regulations, and liabilities that may be imposed for violating them, or for remediation obligations or responding to third-party claims, could negatively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Common Stock</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 or may decline regardless of our operating performance and you could lose all or part of your investment</w:t>
      </w:r>
    </w:p>
    <w:p>
      <w:pPr>
        <w:spacing w:after="0" w:line="51" w:lineRule="exact"/>
        <w:rPr>
          <w:sz w:val="20"/>
          <w:szCs w:val="20"/>
          <w:color w:val="auto"/>
        </w:rPr>
      </w:pPr>
    </w:p>
    <w:p>
      <w:pPr>
        <w:ind w:right="100" w:firstLine="419"/>
        <w:spacing w:after="0" w:line="282" w:lineRule="auto"/>
        <w:rPr>
          <w:sz w:val="20"/>
          <w:szCs w:val="20"/>
          <w:color w:val="auto"/>
        </w:rPr>
      </w:pPr>
      <w:r>
        <w:rPr>
          <w:rFonts w:ascii="Times New Roman" w:cs="Times New Roman" w:eastAsia="Times New Roman" w:hAnsi="Times New Roman"/>
          <w:sz w:val="18"/>
          <w:szCs w:val="18"/>
          <w:color w:val="231F20"/>
        </w:rPr>
        <w:t>The market price of our common stock may be highly volatile and may fluctuate or decline substantially as a result of a variety of factors, some of which are beyond our control or are related in complex ways, including:</w:t>
      </w:r>
    </w:p>
    <w:p>
      <w:pPr>
        <w:spacing w:after="0" w:line="162" w:lineRule="exact"/>
        <w:rPr>
          <w:sz w:val="20"/>
          <w:szCs w:val="20"/>
          <w:color w:val="auto"/>
        </w:rPr>
      </w:pPr>
    </w:p>
    <w:p>
      <w:pPr>
        <w:ind w:left="800" w:right="960" w:hanging="283"/>
        <w:spacing w:after="0" w:line="282" w:lineRule="auto"/>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analysts’ estimates, investors’ perceptions, recommendations by securities analysts or our failure to achieve analysts’ estimates;</w:t>
      </w:r>
    </w:p>
    <w:p>
      <w:pPr>
        <w:spacing w:after="0" w:line="53" w:lineRule="exact"/>
        <w:rPr>
          <w:rFonts w:ascii="Times New Roman" w:cs="Times New Roman" w:eastAsia="Times New Roman" w:hAnsi="Times New Roman"/>
          <w:sz w:val="18"/>
          <w:szCs w:val="18"/>
          <w:color w:val="231F20"/>
        </w:rPr>
      </w:pPr>
    </w:p>
    <w:p>
      <w:pPr>
        <w:ind w:left="800" w:right="1600" w:hanging="283"/>
        <w:spacing w:after="0" w:line="282" w:lineRule="auto"/>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reimbursement coverage by current or potential payors, including new or updated local or national coverage determinations by one or more MACs;</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quarterly variations in our or our competitors’ results of operations;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Periodic fluctuations in our revenue, which could be due in part to the way in which we recognize revenue;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trading volume of our common stock;</w:t>
      </w:r>
    </w:p>
    <w:p>
      <w:pPr>
        <w:spacing w:after="0" w:line="117" w:lineRule="exact"/>
        <w:rPr>
          <w:rFonts w:ascii="Times New Roman" w:cs="Times New Roman" w:eastAsia="Times New Roman" w:hAnsi="Times New Roman"/>
          <w:sz w:val="18"/>
          <w:szCs w:val="18"/>
          <w:color w:val="231F20"/>
        </w:rPr>
      </w:pPr>
    </w:p>
    <w:p>
      <w:pPr>
        <w:ind w:left="800" w:right="1580" w:hanging="283"/>
        <w:spacing w:after="0" w:line="282" w:lineRule="auto"/>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market conditions and other factors unrelated to our operating performance or the operating performance of our competitors;</w:t>
      </w:r>
    </w:p>
    <w:p>
      <w:pPr>
        <w:spacing w:after="0" w:line="53" w:lineRule="exact"/>
        <w:rPr>
          <w:rFonts w:ascii="Times New Roman" w:cs="Times New Roman" w:eastAsia="Times New Roman" w:hAnsi="Times New Roman"/>
          <w:sz w:val="18"/>
          <w:szCs w:val="18"/>
          <w:color w:val="231F20"/>
        </w:rPr>
      </w:pPr>
    </w:p>
    <w:p>
      <w:pPr>
        <w:ind w:left="800" w:right="980" w:hanging="283"/>
        <w:spacing w:after="0" w:line="282" w:lineRule="auto"/>
        <w:tabs>
          <w:tab w:leader="none" w:pos="80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operating performance and stock market valuations of other technology companies generally, or those in the medical device industry in particular;</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61" w:name="page62"/>
    <w:bookmarkEnd w:id="61"/>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regulatory oversight of our products;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results of our clinical trials;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loss of key personnel, including changes in our board of directors or management;</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recalls or other problems associated with our products;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Legislation or regulation of our market;</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Lawsuits threatened or filed against us;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announcement of new products or product enhancements by us or our competitors;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Announced or completed acquisitions of businesses or technologies by us or our competitors;</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related to patents issued to us or our competitors and related litigation; and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Developments in our industry.</w:t>
      </w:r>
    </w:p>
    <w:p>
      <w:pPr>
        <w:spacing w:after="0" w:line="225" w:lineRule="exact"/>
        <w:rPr>
          <w:sz w:val="20"/>
          <w:szCs w:val="20"/>
          <w:color w:val="auto"/>
        </w:rPr>
      </w:pPr>
    </w:p>
    <w:p>
      <w:pPr>
        <w:ind w:right="40" w:firstLine="419"/>
        <w:spacing w:after="0" w:line="253" w:lineRule="auto"/>
        <w:rPr>
          <w:sz w:val="20"/>
          <w:szCs w:val="20"/>
          <w:color w:val="auto"/>
        </w:rPr>
      </w:pPr>
      <w:r>
        <w:rPr>
          <w:rFonts w:ascii="Times New Roman" w:cs="Times New Roman" w:eastAsia="Times New Roman" w:hAnsi="Times New Roman"/>
          <w:sz w:val="18"/>
          <w:szCs w:val="18"/>
          <w:color w:val="231F20"/>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 In addition, notwithstanding their subsequent withdrawal in late December 2023, the publication of the Draft LCDs, as amended, by five of the seven MACs in June 2023, which would have rendered canaloplasty followed by trabeculotomy (ab interno), a procedure associated with our OMNI technology, investigational and thus non-covered in these MAC jurisdictions, adversely affected our business and prospects and resulted in a substantial decline in the market price of our common stock. Although the LCDs were withdrawn before becoming effective, we believe that ongoing uncertainty among investors and other stakeholders regarding the coverage and reimbursement environment for procedures in which our products are used continues to adversely affect our business and stock price. If new or updated LCDs, national coverage determinations, or other material coverage updates or determinations are published that could or would adversely affect coverage for procedures involving our OMNI technology, our business and prospects would be further adversely affected and our financial condition and results of operation could suffer.</w:t>
      </w:r>
    </w:p>
    <w:p>
      <w:pPr>
        <w:spacing w:after="0" w:line="192"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In addition, in the past, stockholders have instituted securities class action litigation against issuers following periods of stock price volatility. After we announced in September 2023 a reduction in our full-year 2023 revenue guidance, several plaintiff’s class action firms announced the commencement of investigations pertaining to our compliance with securities laws. We cannot predict whether any of these investigations will ultimately result in litigation. If we were to become involved in securities litigation, it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spacing w:after="0" w:line="183" w:lineRule="exact"/>
        <w:rPr>
          <w:sz w:val="20"/>
          <w:szCs w:val="20"/>
          <w:color w:val="auto"/>
        </w:rPr>
      </w:pPr>
    </w:p>
    <w:p>
      <w:pPr>
        <w:ind w:right="52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28" w:lineRule="exact"/>
        <w:rPr>
          <w:sz w:val="20"/>
          <w:szCs w:val="20"/>
          <w:color w:val="auto"/>
        </w:rPr>
      </w:pPr>
    </w:p>
    <w:p>
      <w:pPr>
        <w:ind w:right="200" w:firstLine="419"/>
        <w:spacing w:after="0" w:line="253" w:lineRule="auto"/>
        <w:rPr>
          <w:sz w:val="20"/>
          <w:szCs w:val="20"/>
          <w:color w:val="auto"/>
        </w:rPr>
      </w:pPr>
      <w:r>
        <w:rPr>
          <w:rFonts w:ascii="Times New Roman" w:cs="Times New Roman" w:eastAsia="Times New Roman" w:hAnsi="Times New Roman"/>
          <w:sz w:val="18"/>
          <w:szCs w:val="18"/>
          <w:color w:val="231F20"/>
        </w:rPr>
        <w:t xml:space="preserve">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w:t>
      </w:r>
      <w:r>
        <w:rPr>
          <w:rFonts w:ascii="Times New Roman" w:cs="Times New Roman" w:eastAsia="Times New Roman" w:hAnsi="Times New Roman"/>
          <w:sz w:val="18"/>
          <w:szCs w:val="18"/>
          <w:color w:val="000000"/>
        </w:rPr>
        <w:t>In particular, we must perform system and process evaluations, document our controls and perform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testing of our key controls over financial reporting to allow management and our independent registered public accounting firm to report on the effectiveness of our internal control over financial reporting. We have incurred significant expense and devoted substantial management effort to complying with the requirements of Section 404 of the Sarbanes-Oxley Act, which we expect will continue. We anticipate hiring additional accounting and financial staff with appropriate public company experience and technical accounting knowledge to support future growth. If we are not able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62" w:name="page63"/>
    <w:bookmarkEnd w:id="62"/>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Material weaknesses in our internal control over financial reporting may cause us to fail to timely and accurately report our financial results or result in a material misstatement of our financial statements.</w:t>
      </w:r>
    </w:p>
    <w:p>
      <w:pPr>
        <w:spacing w:after="0" w:line="51"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in connection with our IPO, we identified a material weakness in our internal controls due to a lack of sufficient full-time accounting personnel with requisite experience and deep technical accounting knowledge to (i) identify and resolve complex accounting issues under generally accepted accounting principles in the United States, or GAAP, and (ii) enable appropriate segregation of duties and reviews over the financial reviews over the financial close and reporting process.</w:t>
      </w:r>
    </w:p>
    <w:p>
      <w:pPr>
        <w:spacing w:after="0" w:line="180"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While we have remediated this material weakness as of December 31, 2023, we cannot assure you that these or other measures will prevent future material weaknesses from occurring. As part of our remediation of the material weakness identified above, we have hired additional accounting employees with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83"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231F20"/>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SEC or other regulatory authorities. If additional material weaknesses exist or are discovered in the future, and we are unable to remediate any such material weaknesses, our reputation, financial condition, and operating results could suffer.</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231F20"/>
        </w:rPr>
        <w:t>Provisions in our restated certificate of incorporation and our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87" w:lineRule="exact"/>
        <w:rPr>
          <w:sz w:val="20"/>
          <w:szCs w:val="20"/>
          <w:color w:val="auto"/>
        </w:rPr>
      </w:pPr>
    </w:p>
    <w:p>
      <w:pPr>
        <w:ind w:left="800" w:right="1520" w:hanging="283"/>
        <w:spacing w:after="0" w:line="282" w:lineRule="auto"/>
        <w:tabs>
          <w:tab w:leader="none" w:pos="8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231F20"/>
        </w:rPr>
      </w:pPr>
    </w:p>
    <w:p>
      <w:pPr>
        <w:ind w:left="800" w:right="760" w:hanging="283"/>
        <w:spacing w:after="0" w:line="282" w:lineRule="auto"/>
        <w:tabs>
          <w:tab w:leader="none" w:pos="8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53" w:lineRule="exact"/>
        <w:rPr>
          <w:rFonts w:ascii="Times New Roman" w:cs="Times New Roman" w:eastAsia="Times New Roman" w:hAnsi="Times New Roman"/>
          <w:sz w:val="18"/>
          <w:szCs w:val="18"/>
          <w:color w:val="231F20"/>
        </w:rPr>
      </w:pPr>
    </w:p>
    <w:p>
      <w:pPr>
        <w:jc w:val="both"/>
        <w:ind w:left="800" w:right="700" w:hanging="283"/>
        <w:spacing w:after="0" w:line="266" w:lineRule="auto"/>
        <w:tabs>
          <w:tab w:leader="none" w:pos="8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board of directors to alter our bylaws without obtaining stockholder approval;</w:t>
      </w:r>
    </w:p>
    <w:p>
      <w:pPr>
        <w:spacing w:after="0" w:line="117" w:lineRule="exact"/>
        <w:rPr>
          <w:rFonts w:ascii="Times New Roman" w:cs="Times New Roman" w:eastAsia="Times New Roman" w:hAnsi="Times New Roman"/>
          <w:sz w:val="18"/>
          <w:szCs w:val="18"/>
          <w:color w:val="231F20"/>
        </w:rPr>
      </w:pPr>
    </w:p>
    <w:p>
      <w:pPr>
        <w:jc w:val="both"/>
        <w:ind w:left="800" w:right="700" w:hanging="283"/>
        <w:spacing w:after="0" w:line="282" w:lineRule="auto"/>
        <w:tabs>
          <w:tab w:leader="none" w:pos="8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3" w:lineRule="exact"/>
        <w:rPr>
          <w:rFonts w:ascii="Times New Roman" w:cs="Times New Roman" w:eastAsia="Times New Roman" w:hAnsi="Times New Roman"/>
          <w:sz w:val="18"/>
          <w:szCs w:val="18"/>
          <w:color w:val="231F20"/>
        </w:rPr>
      </w:pPr>
    </w:p>
    <w:p>
      <w:pPr>
        <w:ind w:left="800" w:right="820" w:hanging="283"/>
        <w:spacing w:after="0" w:line="282" w:lineRule="auto"/>
        <w:tabs>
          <w:tab w:leader="none" w:pos="80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prohibition on stockholder action by written consent, which forces stockholder action to be taken at an annual or special meeting of our stockholders;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63" w:name="page64"/>
    <w:bookmarkEnd w:id="63"/>
    <w:p>
      <w:pPr>
        <w:ind w:left="800" w:right="780" w:hanging="283"/>
        <w:spacing w:after="0" w:line="266" w:lineRule="auto"/>
        <w:tabs>
          <w:tab w:leader="none" w:pos="8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231F20"/>
        </w:rPr>
      </w:pPr>
    </w:p>
    <w:p>
      <w:pPr>
        <w:ind w:left="800" w:right="820" w:hanging="283"/>
        <w:spacing w:after="0" w:line="266" w:lineRule="auto"/>
        <w:tabs>
          <w:tab w:leader="none" w:pos="8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520" w:firstLine="419"/>
        <w:spacing w:after="0" w:line="312" w:lineRule="auto"/>
        <w:rPr>
          <w:sz w:val="20"/>
          <w:szCs w:val="20"/>
          <w:color w:val="auto"/>
        </w:rPr>
      </w:pPr>
      <w:r>
        <w:rPr>
          <w:rFonts w:ascii="Times New Roman" w:cs="Times New Roman" w:eastAsia="Times New Roman" w:hAnsi="Times New Roman"/>
          <w:sz w:val="17"/>
          <w:szCs w:val="17"/>
          <w:color w:val="auto"/>
        </w:rPr>
        <w:t>We recognize the critical importance of protecting our information technology ("IT") systems and the data of our employees, customers, and partners. We have an enterprise-wide cybersecurity program designed to identify, detect, investigate, protect, and respond to cybersecurity risks.</w:t>
      </w:r>
    </w:p>
    <w:p>
      <w:pPr>
        <w:spacing w:after="0" w:line="32"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oversees our cybersecurity programs and cybersecurity team, which are led by our Vice President of Information Technology. At least semi-annual reviews are presented by the Vice President of Information Technology to the Nominating and Corporate Governance Committee demonstrating the cybersecurity practices and controls, mitigation activities, current threat levels, emerging cybersecurity threats, training initiatives, breaches, and results from any penetration testing. In addition, cybersecurity risk management is part of the enterprise risk management program and is reviewed by the Audit Committee at least annually.</w:t>
      </w:r>
    </w:p>
    <w:p>
      <w:pPr>
        <w:spacing w:after="0" w:line="75" w:lineRule="exact"/>
        <w:rPr>
          <w:sz w:val="20"/>
          <w:szCs w:val="20"/>
          <w:color w:val="auto"/>
        </w:rPr>
      </w:pPr>
    </w:p>
    <w:p>
      <w:pPr>
        <w:ind w:right="360" w:firstLine="419"/>
        <w:spacing w:after="0" w:line="258" w:lineRule="auto"/>
        <w:rPr>
          <w:sz w:val="20"/>
          <w:szCs w:val="20"/>
          <w:color w:val="auto"/>
        </w:rPr>
      </w:pPr>
      <w:r>
        <w:rPr>
          <w:rFonts w:ascii="Times New Roman" w:cs="Times New Roman" w:eastAsia="Times New Roman" w:hAnsi="Times New Roman"/>
          <w:sz w:val="18"/>
          <w:szCs w:val="18"/>
          <w:color w:val="auto"/>
        </w:rPr>
        <w:t>We have developed an information security policy ensuring that our cybersecurity objectives are established and compatible with our strategic direction. The goal of this policy is to protect our informational assets against reasonably foreseeable internal, external, and accidental threats. Identifying and assessing cybersecurity risk is integrated into our overall risk management processes. Cybersecurity risks related to our business, operations, privacy, and compliance are identified and managed through third party assessments, internal IT audits, governance, risk and compliance reviews.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Our policies and approach to cybersecurity include several key elements:</w:t>
      </w:r>
    </w:p>
    <w:p>
      <w:pPr>
        <w:spacing w:after="0" w:line="225" w:lineRule="exact"/>
        <w:rPr>
          <w:sz w:val="20"/>
          <w:szCs w:val="20"/>
          <w:color w:val="auto"/>
        </w:rPr>
      </w:pPr>
    </w:p>
    <w:p>
      <w:pPr>
        <w:jc w:val="both"/>
        <w:ind w:left="800" w:right="1260" w:hanging="283"/>
        <w:spacing w:after="0" w:line="266" w:lineRule="auto"/>
        <w:tabs>
          <w:tab w:leader="none" w:pos="8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Continuous Monitoring and Defense: We work to protect our environments and products from threats through multi-layered defenses. We utilize data analytics to detect anomalies and search for cyber threats. Our Security Operations Center provides comprehensive, around the clock, cyber threat detection and response capabilities.</w:t>
      </w:r>
    </w:p>
    <w:p>
      <w:pPr>
        <w:spacing w:after="0" w:line="6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Software Risk Assessment: We complete security audits on all third-party platforms prior to selection.</w:t>
      </w:r>
    </w:p>
    <w:p>
      <w:pPr>
        <w:spacing w:after="0" w:line="117" w:lineRule="exact"/>
        <w:rPr>
          <w:rFonts w:ascii="Times New Roman" w:cs="Times New Roman" w:eastAsia="Times New Roman" w:hAnsi="Times New Roman"/>
          <w:sz w:val="18"/>
          <w:szCs w:val="18"/>
          <w:color w:val="231F20"/>
        </w:rPr>
      </w:pPr>
    </w:p>
    <w:p>
      <w:pPr>
        <w:ind w:left="800" w:right="1020" w:hanging="283"/>
        <w:spacing w:after="0" w:line="282" w:lineRule="auto"/>
        <w:tabs>
          <w:tab w:leader="none" w:pos="8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Incident Response Plan: Our Incident Response Plan includes the investigation steps and notifications required on all actual and suspected information security incidences</w:t>
      </w:r>
    </w:p>
    <w:p>
      <w:pPr>
        <w:spacing w:after="0" w:line="53" w:lineRule="exact"/>
        <w:rPr>
          <w:rFonts w:ascii="Times New Roman" w:cs="Times New Roman" w:eastAsia="Times New Roman" w:hAnsi="Times New Roman"/>
          <w:sz w:val="18"/>
          <w:szCs w:val="18"/>
          <w:color w:val="231F20"/>
        </w:rPr>
      </w:pPr>
    </w:p>
    <w:p>
      <w:pPr>
        <w:ind w:left="800" w:right="820" w:hanging="283"/>
        <w:spacing w:after="0" w:line="266" w:lineRule="auto"/>
        <w:tabs>
          <w:tab w:leader="none" w:pos="8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Cybersecurity Training Programs: Our training program is multi-faceted and focused on awareness of new techniques that threat actors utilize both in the corporate environment, as well as their personal lives. Employees undergo regular training on information security best practices, including interactive training to confirm understanding and test employee skills.</w:t>
      </w:r>
    </w:p>
    <w:p>
      <w:pPr>
        <w:spacing w:after="0" w:line="67" w:lineRule="exact"/>
        <w:rPr>
          <w:rFonts w:ascii="Times New Roman" w:cs="Times New Roman" w:eastAsia="Times New Roman" w:hAnsi="Times New Roman"/>
          <w:sz w:val="18"/>
          <w:szCs w:val="18"/>
          <w:color w:val="231F20"/>
        </w:rPr>
      </w:pPr>
    </w:p>
    <w:p>
      <w:pPr>
        <w:ind w:left="800" w:right="1340" w:hanging="283"/>
        <w:spacing w:after="0" w:line="282" w:lineRule="auto"/>
        <w:tabs>
          <w:tab w:leader="none" w:pos="8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Policy: Mandatory compliance with all cybersecurity programs, including applicable legislative and regulatory requirements.</w:t>
      </w:r>
    </w:p>
    <w:p>
      <w:pPr>
        <w:spacing w:after="0" w:line="53" w:lineRule="exact"/>
        <w:rPr>
          <w:rFonts w:ascii="Times New Roman" w:cs="Times New Roman" w:eastAsia="Times New Roman" w:hAnsi="Times New Roman"/>
          <w:sz w:val="18"/>
          <w:szCs w:val="18"/>
          <w:color w:val="231F20"/>
        </w:rPr>
      </w:pPr>
    </w:p>
    <w:p>
      <w:pPr>
        <w:ind w:left="800" w:right="880" w:hanging="283"/>
        <w:spacing w:after="0" w:line="282" w:lineRule="auto"/>
        <w:tabs>
          <w:tab w:leader="none" w:pos="80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Cybersecurity Plan Assessment: We regularly engage with cybersecurity professionals in reviewing our cybersecurity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Menlo Park, California, where we lease approximately 11,000 square feet of office, research and development, engineering and laboratory space pursuant to a lease that commenced on August 1, 2021, which expires October 31, 2026. We also lease approximately 2,000 square feet of office space, which is primarily used by our commercial team, in Southlake, Texas, pursuant to a lease that commenced on April 30, 2019 and expires on May 15, 2024. We believe that our existing facilities are adequate to meet our business requirements in the near-term, and that additional space will be available on commercially reasonable terms, if required.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00" w:firstLine="419"/>
        <w:spacing w:after="0" w:line="261" w:lineRule="auto"/>
        <w:rPr>
          <w:sz w:val="20"/>
          <w:szCs w:val="20"/>
          <w:color w:val="auto"/>
        </w:rPr>
      </w:pPr>
      <w:r>
        <w:rPr>
          <w:rFonts w:ascii="Times New Roman" w:cs="Times New Roman" w:eastAsia="Times New Roman" w:hAnsi="Times New Roman"/>
          <w:sz w:val="18"/>
          <w:szCs w:val="18"/>
          <w:color w:val="auto"/>
        </w:rPr>
        <w:t>On September 16, 2021, we filed suit in the U.S. District Court for the District of Delaware (C.A. No. 1:21-cv-01317) alleging that Ivantis, Inc. directly or indirectly infringes U.S. Patent Nos. 8,287,482, 9,370,443, 9,486,361, and 10,314,742 by making, using, selling, and offering for sale the Hydrus® Microstent. Our complaint seeks money damages and injunctive relief. On August 1, 2022, we filed an amended complaint adding Alcon Inc., Alcon Vision LLC, and Alcon</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89" w:right="419" w:bottom="1440" w:gutter="0" w:footer="0" w:header="0"/>
        </w:sectPr>
      </w:pPr>
    </w:p>
    <w:bookmarkStart w:id="65" w:name="page66"/>
    <w:bookmarkEnd w:id="65"/>
    <w:p>
      <w:pPr>
        <w:ind w:right="60"/>
        <w:spacing w:after="0" w:line="277" w:lineRule="auto"/>
        <w:rPr>
          <w:sz w:val="20"/>
          <w:szCs w:val="20"/>
          <w:color w:val="auto"/>
        </w:rPr>
      </w:pPr>
      <w:r>
        <w:rPr>
          <w:rFonts w:ascii="Times New Roman" w:cs="Times New Roman" w:eastAsia="Times New Roman" w:hAnsi="Times New Roman"/>
          <w:sz w:val="17"/>
          <w:szCs w:val="17"/>
          <w:color w:val="auto"/>
        </w:rPr>
        <w:t xml:space="preserve">Research, LLC as defendants and alleging that all defendants also directly or indirectly infringe U.S. Patent No. 11,389,328. A five-day jury trial is scheduled to commence during the first half of April 2024. Ivantis and Alcon filed petitions with the USPTO seeking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of U.S. Patent Nos. 8,287,482, 9,370,443, 9,486,361, and 10,314,742 (IPR2022-01529, IPR2022-01530, IPR2022-01533, IPR2022-01540), each of which the U.S. Patent Office denied for raising prior art references and invalidity arguments that were cumulative of those previously considered by the Office. We are presently unable to predict the outcome of this lawsuit, or to reasonably estimate the potential financial impact of the lawsuit on the Company, if any.</w:t>
      </w:r>
    </w:p>
    <w:p>
      <w:pPr>
        <w:spacing w:after="0" w:line="168"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231F20"/>
        </w:rPr>
        <w:t>We may,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and results of operations. Additionally, any such claims, whether or not successful, could damage our reputation and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1093" w:right="499" w:bottom="1440" w:gutter="0" w:footer="0" w:header="0"/>
        </w:sectPr>
      </w:pPr>
    </w:p>
    <w:bookmarkStart w:id="66" w:name="page67"/>
    <w:bookmarkEnd w:id="66"/>
    <w:p>
      <w:pPr>
        <w:ind w:left="54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121" w:lineRule="exact"/>
        <w:rPr>
          <w:sz w:val="20"/>
          <w:szCs w:val="20"/>
          <w:color w:val="auto"/>
        </w:rPr>
      </w:pPr>
    </w:p>
    <w:p>
      <w:pPr>
        <w:ind w:right="180" w:firstLine="41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“SGHT” since July 15, 2021. Prior to this date, there was no public market for our common stock.</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140" w:firstLine="419"/>
        <w:spacing w:after="0" w:line="266" w:lineRule="auto"/>
        <w:rPr>
          <w:sz w:val="20"/>
          <w:szCs w:val="20"/>
          <w:color w:val="auto"/>
        </w:rPr>
      </w:pPr>
      <w:r>
        <w:rPr>
          <w:rFonts w:ascii="Times New Roman" w:cs="Times New Roman" w:eastAsia="Times New Roman" w:hAnsi="Times New Roman"/>
          <w:sz w:val="18"/>
          <w:szCs w:val="18"/>
          <w:color w:val="auto"/>
        </w:rPr>
        <w:t>As of March 5, 2024, there were approximately 10 holders of record of our common stock. The actual number of stockholders is greater than this number of holders of record and includes stockholders who are beneficial owners but whose shares are held in the street name by brokers and other nominees.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right="260" w:firstLine="419"/>
        <w:spacing w:after="0" w:line="312" w:lineRule="auto"/>
        <w:rPr>
          <w:sz w:val="20"/>
          <w:szCs w:val="20"/>
          <w:color w:val="auto"/>
        </w:rPr>
      </w:pPr>
      <w:r>
        <w:rPr>
          <w:rFonts w:ascii="Times New Roman" w:cs="Times New Roman" w:eastAsia="Times New Roman" w:hAnsi="Times New Roman"/>
          <w:sz w:val="17"/>
          <w:szCs w:val="17"/>
          <w:color w:val="auto"/>
        </w:rPr>
        <w:t>On July 14, 2021, our registration statement on Form S-1 (File No. 333-257320) relating to our initial public offering ("IPO") of common stock became effective. The IPO closed on July 15, 2021, at which time we issued 11,500,000 shares of our common stock at a price of $24.00 per share.</w:t>
      </w:r>
    </w:p>
    <w:p>
      <w:pPr>
        <w:spacing w:after="0" w:line="140" w:lineRule="exact"/>
        <w:rPr>
          <w:sz w:val="20"/>
          <w:szCs w:val="20"/>
          <w:color w:val="auto"/>
        </w:rPr>
      </w:pPr>
    </w:p>
    <w:p>
      <w:pPr>
        <w:ind w:right="120" w:firstLine="41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dated July 14, 2021 and filed with the SEC on July 15, 2021 pursuant to Rule 424(b) under the Securities Act.</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231F20"/>
        </w:rPr>
        <w:t>We have never declared or paid cash dividends on our capital stock. We currently intend to retain all available funds and future earnings, if any, to fund the operation, development and expansion of our business, and we do not anticipate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Item 12 of Part III of this Annual Report on Form 10-K.</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from Registered Securities</w:t>
      </w:r>
    </w:p>
    <w:p>
      <w:pPr>
        <w:spacing w:after="0" w:line="121" w:lineRule="exact"/>
        <w:rPr>
          <w:sz w:val="20"/>
          <w:szCs w:val="20"/>
          <w:color w:val="auto"/>
        </w:rPr>
      </w:pPr>
    </w:p>
    <w:p>
      <w:pPr>
        <w:ind w:right="560" w:firstLine="419"/>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equity securities during the fiscal year ended December 31, 2023 that were not previously reported in a Quarterly Report on Form 10-Q or Current Report on Form 8-K.</w:t>
      </w:r>
    </w:p>
    <w:p>
      <w:pPr>
        <w:spacing w:after="0" w:line="162"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auto"/>
        </w:rPr>
        <w:t>In January 2024, we entered into the Hercules Loan Agreement with the Lenders. At the closing of the transactions contemplated by the Agreement, we issued warrants to Lenders exercisable for an aggregate of 135,686 shares of our common stock at an exercise price of $5.159 per share. Each warrant is exercisable for a period of seven years from the date of issuance and is tradeable in accordance with the provisions of Rule 144 of the Securities Act.</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89"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231F20"/>
        </w:rPr>
        <w:t>You should read the following discussion and analysis of our financial condition and results of operations together with the information presented in our financial statements and the related notes included elsewhere in this Annual Report on Form 10-K. This discussion contains forward-looking statements based upon current plans, expectations, and beliefs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 Please also see the section of this Annual Report on Form 10-K titled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21"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231F20"/>
        </w:rPr>
        <w:t>S</w:t>
      </w:r>
      <w:r>
        <w:rPr>
          <w:rFonts w:ascii="Times New Roman" w:cs="Times New Roman" w:eastAsia="Times New Roman" w:hAnsi="Times New Roman"/>
          <w:sz w:val="18"/>
          <w:szCs w:val="18"/>
          <w:color w:val="000000"/>
        </w:rPr>
        <w:t>ight Sciences’ mission is to develop transformative, interventional technologies that allow eyecare providers to procedurally elevate the standards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care – empowering people to keep seeing. We are passionate about improving patients’ lives by helping them preserve their sight.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p>
    <w:p>
      <w:pPr>
        <w:spacing w:after="0" w:line="72" w:lineRule="exact"/>
        <w:rPr>
          <w:sz w:val="20"/>
          <w:szCs w:val="20"/>
          <w:color w:val="auto"/>
        </w:rPr>
      </w:pPr>
    </w:p>
    <w:p>
      <w:pPr>
        <w:ind w:left="800" w:hanging="283"/>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comprehensively understanding disease physiology;</w:t>
      </w:r>
    </w:p>
    <w:p>
      <w:pPr>
        <w:spacing w:after="0" w:line="11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developing products that are intended to preserve, protect, and restore natural physiological functionality to diseased eyes;</w:t>
      </w:r>
    </w:p>
    <w:p>
      <w:pPr>
        <w:spacing w:after="0" w:line="117" w:lineRule="exact"/>
        <w:rPr>
          <w:rFonts w:ascii="Times New Roman" w:cs="Times New Roman" w:eastAsia="Times New Roman" w:hAnsi="Times New Roman"/>
          <w:sz w:val="18"/>
          <w:szCs w:val="18"/>
          <w:color w:val="auto"/>
        </w:rPr>
      </w:pPr>
    </w:p>
    <w:p>
      <w:pPr>
        <w:ind w:left="800" w:right="1200" w:hanging="283"/>
        <w:spacing w:after="0" w:line="282" w:lineRule="auto"/>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developing and marketing products with proven clinical evidence that achieve superior effectiveness versus current treatment paradigms while minimizing complications or side effects;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providing intuitive, patient-friendly, interventional solutions to ophthalmologists and optometrists (together, "ECPs"); and</w:t>
      </w:r>
    </w:p>
    <w:p>
      <w:pPr>
        <w:spacing w:after="0" w:line="117" w:lineRule="exact"/>
        <w:rPr>
          <w:rFonts w:ascii="Times New Roman" w:cs="Times New Roman" w:eastAsia="Times New Roman" w:hAnsi="Times New Roman"/>
          <w:sz w:val="18"/>
          <w:szCs w:val="18"/>
          <w:color w:val="auto"/>
        </w:rPr>
      </w:pPr>
    </w:p>
    <w:p>
      <w:pPr>
        <w:ind w:left="800" w:right="700" w:hanging="283"/>
        <w:spacing w:after="0" w:line="282" w:lineRule="auto"/>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delivering compelling economic value to all stakeholders, including patients, providers and third-party payors such as Medicare and commercial insurers.</w:t>
      </w:r>
    </w:p>
    <w:p>
      <w:pPr>
        <w:spacing w:after="0" w:line="54"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O</w:t>
      </w:r>
      <w:r>
        <w:rPr>
          <w:rFonts w:ascii="Times New Roman" w:cs="Times New Roman" w:eastAsia="Times New Roman" w:hAnsi="Times New Roman"/>
          <w:sz w:val="18"/>
          <w:szCs w:val="18"/>
          <w:color w:val="000000"/>
        </w:rPr>
        <w:t>ur initial product development has focused on the treatment of two of the world’s most prevalent and underserved eye diseases, glaucoma and dry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eye disease (“DED”). We have commercialized products in each of our two reportable operating segments, Surgical Glaucoma and Dry Eye. Our Surgical Glaucoma segment consists of sales of the OMNI® Surgical System ("OMNI") and the SION® Surgical Instrument ("SION"), while our Dry Eye segment includes sales of the TearCare® System ("TearCare"), and related components and accessories. Each product is primarily sold through a highly involved direct sales model that offers intensive education, training and customer service. We believe this philosophy and model not only enable us to differentiate our products and company from competitors, but also expand our addressable market by educating ECPs, patients and other stakeholders on our products and evolving treatment paradigms. Outside of the U.S., we have established direct commercial operations in the United Kingdom and Germany. We sell OMNI in several other countries through distributors.</w:t>
      </w:r>
    </w:p>
    <w:p>
      <w:pPr>
        <w:spacing w:after="0" w:line="192" w:lineRule="exact"/>
        <w:rPr>
          <w:sz w:val="20"/>
          <w:szCs w:val="20"/>
          <w:color w:val="auto"/>
        </w:rPr>
      </w:pPr>
    </w:p>
    <w:p>
      <w:pPr>
        <w:ind w:right="60" w:firstLine="419"/>
        <w:spacing w:after="0" w:line="253" w:lineRule="auto"/>
        <w:rPr>
          <w:sz w:val="20"/>
          <w:szCs w:val="20"/>
          <w:color w:val="auto"/>
        </w:rPr>
      </w:pPr>
      <w:r>
        <w:rPr>
          <w:rFonts w:ascii="Times New Roman" w:cs="Times New Roman" w:eastAsia="Times New Roman" w:hAnsi="Times New Roman"/>
          <w:sz w:val="18"/>
          <w:szCs w:val="18"/>
          <w:color w:val="auto"/>
        </w:rPr>
        <w:t>We sell OMNI and SION to facilities where ophthalmic surgeons perform outpatient procedures, such as ambulatory service centers ("ASCs") and hospital outpatient departments ("</w:t>
      </w:r>
      <w:r>
        <w:rPr>
          <w:rFonts w:ascii="Times New Roman" w:cs="Times New Roman" w:eastAsia="Times New Roman" w:hAnsi="Times New Roman"/>
          <w:sz w:val="18"/>
          <w:szCs w:val="18"/>
          <w:color w:val="231F20"/>
        </w:rPr>
        <w:t>HOPDs"),</w:t>
      </w:r>
      <w:r>
        <w:rPr>
          <w:rFonts w:ascii="Times New Roman" w:cs="Times New Roman" w:eastAsia="Times New Roman" w:hAnsi="Times New Roman"/>
          <w:sz w:val="18"/>
          <w:szCs w:val="18"/>
          <w:color w:val="auto"/>
        </w:rPr>
        <w:t xml:space="preserve"> which are typically reimbursed by Medicare or private payors for procedures using our products. We sell TearCare to ECPs. Currently, there is no meaningful reimbursement coverage by Medicare or private payors for meibomian gland disease ("MGD") procedures, including TearCare, and patients typically pay out-of-pocket for TearCare, although some payors may agree to provide case-based coverage outside of a formal policy. We are continuing our controlled commercial launch and are focused on our comprehensive, clinical data-driven long-term market development plan that aims to improve awareness and patient access to TearCare. We have dedicated meaningful resources to execute our commercial strategy as we reduce operating expenses and improve cost efficiencies to better align our operating structure for long-term, profitable growth. The overall success of our approach to eyecare to date is evidenced by over 220,000 estimated uses of Surgical Glaucoma products and their predicates in over 1,900 hospitals and ASCs in the U.S. and Europe, and over 50,000 estimated uses of TearCare in over 1,500 eyecare facilities in the U.S. through December 31, 2023.</w:t>
      </w:r>
    </w:p>
    <w:p>
      <w:pPr>
        <w:spacing w:after="0" w:line="194"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auto"/>
        </w:rPr>
        <w:t>We do not currently operate any manufacturing facilities and instead contract with third parties for our production requirements. We believe our suppliers will be able to meet our current and anticipated manufacturing needs across all our products. We plan to continue to utilize third party contract manufacturers for our products and any related components.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089" w:right="439" w:bottom="1440" w:gutter="0" w:footer="0" w:header="0"/>
        </w:sectPr>
      </w:pPr>
    </w:p>
    <w:bookmarkStart w:id="68" w:name="page69"/>
    <w:bookmarkEnd w:id="68"/>
    <w:p>
      <w:pPr>
        <w:ind w:right="40" w:firstLine="419"/>
        <w:spacing w:after="0" w:line="256" w:lineRule="auto"/>
        <w:rPr>
          <w:sz w:val="20"/>
          <w:szCs w:val="20"/>
          <w:color w:val="auto"/>
        </w:rPr>
      </w:pPr>
      <w:r>
        <w:rPr>
          <w:rFonts w:ascii="Times New Roman" w:cs="Times New Roman" w:eastAsia="Times New Roman" w:hAnsi="Times New Roman"/>
          <w:sz w:val="18"/>
          <w:szCs w:val="18"/>
          <w:color w:val="231F20"/>
        </w:rPr>
        <w:t xml:space="preserve">Revenue in our Surgical Glaucoma segment for the years ended December 31, 2023 and 2022 was $74.3 million and $65.6 million, respectively, with gross margins for the same periods of 88.1% and 87.4%, respectively. Revenue in our Dry Eye segment for the years ended December 31, 2023 and 2022 was $6.7 million and $5.7 million, respectively, with gross margins for the same periods of 54.8% and 29.1%, respectively. </w:t>
      </w:r>
      <w:r>
        <w:rPr>
          <w:rFonts w:ascii="Times New Roman" w:cs="Times New Roman" w:eastAsia="Times New Roman" w:hAnsi="Times New Roman"/>
          <w:sz w:val="18"/>
          <w:szCs w:val="18"/>
          <w:color w:val="000000"/>
        </w:rPr>
        <w:t>Given the earlier stage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of TearCare’s commercial development, we expect our Dry Eye segment’s gross margins to be lower than our Surgical Glaucoma segment’s gross margins for the near- and medium-term due to the allocation of fixed labor and overhead costs to the segment's cost of goods sold. </w:t>
      </w:r>
      <w:r>
        <w:rPr>
          <w:rFonts w:ascii="Times New Roman" w:cs="Times New Roman" w:eastAsia="Times New Roman" w:hAnsi="Times New Roman"/>
          <w:sz w:val="18"/>
          <w:szCs w:val="18"/>
          <w:color w:val="231F20"/>
        </w:rPr>
        <w:t>For all periods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presented, substantially all of our revenue was generated from customers in the U.S.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in the importance of continued strategic investment in initiatives that:</w:t>
      </w:r>
    </w:p>
    <w:p>
      <w:pPr>
        <w:spacing w:after="0" w:line="225" w:lineRule="exact"/>
        <w:rPr>
          <w:sz w:val="20"/>
          <w:szCs w:val="20"/>
          <w:color w:val="auto"/>
        </w:rPr>
      </w:pPr>
    </w:p>
    <w:p>
      <w:pPr>
        <w:ind w:left="800" w:right="720" w:hanging="283"/>
        <w:spacing w:after="0" w:line="266" w:lineRule="auto"/>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demonstrate our products’ clinical effectiveness and safety to potential customers, patients, payors and regulators including establishing OMNI and SION as the standards of care of interventional glaucoma treatment among MIGS-trained surgeons, develop the standalone MIGS market, and pursue coverage and equitable reimbursement for TearCare;</w:t>
      </w:r>
    </w:p>
    <w:p>
      <w:pPr>
        <w:spacing w:after="0" w:line="67"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commercial capabilities and expertise, including resources dedicated to sales, marketing and education;</w:t>
      </w:r>
    </w:p>
    <w:p>
      <w:pPr>
        <w:spacing w:after="0" w:line="117" w:lineRule="exact"/>
        <w:rPr>
          <w:rFonts w:ascii="Times New Roman" w:cs="Times New Roman" w:eastAsia="Times New Roman" w:hAnsi="Times New Roman"/>
          <w:sz w:val="18"/>
          <w:szCs w:val="18"/>
          <w:color w:val="auto"/>
        </w:rPr>
      </w:pPr>
    </w:p>
    <w:p>
      <w:pPr>
        <w:ind w:left="800" w:right="820" w:hanging="283"/>
        <w:spacing w:after="0" w:line="282" w:lineRule="auto"/>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broadest possible patient access to the treatment alternatives that our products are cleared to offer; enhance and improve upon our existing product technologies;</w:t>
      </w:r>
    </w:p>
    <w:p>
      <w:pPr>
        <w:spacing w:after="0" w:line="53" w:lineRule="exact"/>
        <w:rPr>
          <w:rFonts w:ascii="Times New Roman" w:cs="Times New Roman" w:eastAsia="Times New Roman" w:hAnsi="Times New Roman"/>
          <w:sz w:val="18"/>
          <w:szCs w:val="18"/>
          <w:color w:val="auto"/>
        </w:rPr>
      </w:pPr>
    </w:p>
    <w:p>
      <w:pPr>
        <w:ind w:left="800" w:hanging="283"/>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international markets and expand into new international markets; and</w:t>
      </w:r>
    </w:p>
    <w:p>
      <w:pPr>
        <w:spacing w:after="0" w:line="117" w:lineRule="exact"/>
        <w:rPr>
          <w:rFonts w:ascii="Times New Roman" w:cs="Times New Roman" w:eastAsia="Times New Roman" w:hAnsi="Times New Roman"/>
          <w:sz w:val="18"/>
          <w:szCs w:val="18"/>
          <w:color w:val="auto"/>
        </w:rPr>
      </w:pPr>
    </w:p>
    <w:p>
      <w:pPr>
        <w:ind w:left="800" w:right="800" w:hanging="283"/>
        <w:spacing w:after="0" w:line="282" w:lineRule="auto"/>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create transformational and interventional technology innovation with new products, devices or drugs, in glaucoma and ocular surface disease or in new eye disease areas.</w:t>
      </w:r>
    </w:p>
    <w:p>
      <w:pPr>
        <w:spacing w:after="0" w:line="162" w:lineRule="exact"/>
        <w:rPr>
          <w:sz w:val="20"/>
          <w:szCs w:val="20"/>
          <w:color w:val="auto"/>
        </w:rPr>
      </w:pPr>
    </w:p>
    <w:p>
      <w:pPr>
        <w:jc w:val="both"/>
        <w:ind w:right="140" w:firstLine="419"/>
        <w:spacing w:after="0" w:line="261" w:lineRule="auto"/>
        <w:rPr>
          <w:sz w:val="20"/>
          <w:szCs w:val="20"/>
          <w:color w:val="auto"/>
        </w:rPr>
      </w:pPr>
      <w:r>
        <w:rPr>
          <w:rFonts w:ascii="Times New Roman" w:cs="Times New Roman" w:eastAsia="Times New Roman" w:hAnsi="Times New Roman"/>
          <w:sz w:val="18"/>
          <w:szCs w:val="18"/>
          <w:color w:val="auto"/>
        </w:rPr>
        <w:t>As a result, we intend to continue to invest in clinical studies, sales and marketing, education initiatives, market access, and product development. However, we are also focused on disciplined expenditures, and seek to grow our operating expenses at a lower rate than revenue. Because of these and other factors, we expect to continue to incur net losses for at least the next several years, and we may seek additional debt and equity financing to fund our operations and planned growth.</w:t>
      </w:r>
    </w:p>
    <w:p>
      <w:pPr>
        <w:spacing w:after="0" w:line="180"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To date, our primary sources of capital have been private placements of redeemable convertible preferred stock, debt financing agreements, the sale of common stock in our IPO, and revenue from the sale of our products. As of December 31, 2023, we had an outstanding term loan balance of $35.0 million (excluding debt discount and amortized debt issuance costs), cash and cash equivalents of $138.1 million and an accumulated deficit of $294.8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Business and Results of Operations</w:t>
      </w:r>
    </w:p>
    <w:p>
      <w:pPr>
        <w:spacing w:after="0" w:line="121" w:lineRule="exact"/>
        <w:rPr>
          <w:sz w:val="20"/>
          <w:szCs w:val="20"/>
          <w:color w:val="auto"/>
        </w:rPr>
      </w:pPr>
    </w:p>
    <w:p>
      <w:pPr>
        <w:ind w:right="160" w:firstLine="419"/>
        <w:spacing w:after="0" w:line="282" w:lineRule="auto"/>
        <w:rPr>
          <w:sz w:val="20"/>
          <w:szCs w:val="20"/>
          <w:color w:val="auto"/>
        </w:rPr>
      </w:pPr>
      <w:r>
        <w:rPr>
          <w:rFonts w:ascii="Times New Roman" w:cs="Times New Roman" w:eastAsia="Times New Roman" w:hAnsi="Times New Roman"/>
          <w:sz w:val="18"/>
          <w:szCs w:val="18"/>
          <w:color w:val="231F20"/>
        </w:rPr>
        <w:t>We believe there are several important factors that have impacted and that will continue to impact our business, financial condition, and results of operations. These factors include, but are limited 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Development</w:t>
      </w:r>
    </w:p>
    <w:p>
      <w:pPr>
        <w:spacing w:after="0" w:line="121" w:lineRule="exact"/>
        <w:rPr>
          <w:sz w:val="20"/>
          <w:szCs w:val="20"/>
          <w:color w:val="auto"/>
        </w:rPr>
      </w:pPr>
    </w:p>
    <w:p>
      <w:pPr>
        <w:ind w:right="120" w:firstLine="419"/>
        <w:spacing w:after="0" w:line="254" w:lineRule="auto"/>
        <w:rPr>
          <w:sz w:val="20"/>
          <w:szCs w:val="20"/>
          <w:color w:val="auto"/>
        </w:rPr>
      </w:pPr>
      <w:r>
        <w:rPr>
          <w:rFonts w:ascii="Times New Roman" w:cs="Times New Roman" w:eastAsia="Times New Roman" w:hAnsi="Times New Roman"/>
          <w:sz w:val="18"/>
          <w:szCs w:val="18"/>
          <w:color w:val="231F20"/>
        </w:rPr>
        <w:t>We believe our product development approach is a key differentiator of our team and our company. We are focused on continuous innovation and design and utilize input from our network of expert employees (including ophthalmologists on staff), advisors and customers to rapidly iterate our pre-and post-commercial product designs with the aim of better satisfying the needs of our customers and their patients, delivering the most effective, safe, and consistent outcomes, and increasing adoption and utilization of our solutions. We believe it is critical to our product development approach to comprehensively understand the disease physiology, treat the underlying causes with an interventional mindset, and create products with an intuitive design and strong clinical evidence. Once our products are launched, our customer feedback loop helps us further develop our products. This is particularly evident in the evolution of OMNI, which originated from the combined functionality of two internally developed, commercial predicate devices, each of which had their own multiple commercial iterations. Our future growth is dependent on our ability to continue innovating and applying our expertise of disease physiology to improve existing products and develop new products.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231F20"/>
        </w:rPr>
        <w:t>Reimbursement Rates and Coverage</w:t>
      </w:r>
    </w:p>
    <w:p>
      <w:pPr>
        <w:spacing w:after="0" w:line="121" w:lineRule="exact"/>
        <w:rPr>
          <w:sz w:val="20"/>
          <w:szCs w:val="20"/>
          <w:color w:val="auto"/>
        </w:rPr>
      </w:pPr>
    </w:p>
    <w:p>
      <w:pPr>
        <w:ind w:right="80" w:firstLine="419"/>
        <w:spacing w:after="0" w:line="269" w:lineRule="auto"/>
        <w:rPr>
          <w:sz w:val="20"/>
          <w:szCs w:val="20"/>
          <w:color w:val="auto"/>
        </w:rPr>
      </w:pPr>
      <w:r>
        <w:rPr>
          <w:rFonts w:ascii="Times New Roman" w:cs="Times New Roman" w:eastAsia="Times New Roman" w:hAnsi="Times New Roman"/>
          <w:sz w:val="17"/>
          <w:szCs w:val="17"/>
          <w:color w:val="231F20"/>
        </w:rPr>
        <w:t xml:space="preserve">In the U.S., healthcare providers use separate billing codes to report the provision of medical procedures and use of supplies to third-party payors, such as government programs or private insurance, and seek reimbursement for all or a portion of those costs. Physician fee payment rates for products covered by temporary Current Procedural Terminology (“CPT”) codes are set by the multi-state, regional contractors, or Medicare Administrative Contractors (“MACs”), which are responsible for administering Medicare claims. MACs have in the past, and may in the future, change coverage terms, and there can be no assurance that coverage and adequate reimbursement will be obtained from, or maintained by, the MACs. In June 2023, for instance, five of the seven MACs published draft local coverage determinations (the “Draft LCDs”), which identified certain procedures </w:t>
      </w:r>
      <w:r>
        <w:rPr>
          <w:rFonts w:ascii="Times New Roman" w:cs="Times New Roman" w:eastAsia="Times New Roman" w:hAnsi="Times New Roman"/>
          <w:sz w:val="17"/>
          <w:szCs w:val="17"/>
          <w:color w:val="000000"/>
        </w:rPr>
        <w:t>as investigational in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patients over the age of 18 for glaucoma management, including canaloplasty in combination with trabeculotomy (ab interno), which is a procedure associated with OMNI. The Draft LCDs, as amended, were published in final form during the quarter ended December 31, 2023, with a future effective date of January 29, 2024, and subsequently withdrawn in late December 2023. Had the Draft LCDs, as amended, not been withdrawn, canaloplasty followed by trabeculotomy (ab interno) would have been rendered non-covered as of January 29, 2024 with respect to Medicare Part B beneficiaries in the states administered by these MACs, which states accounted for approximately 63% of our total Surgical Glaucoma revenue in 2022. Any updated or new local coverage determinations or other coverage policies that may establish a policy of Medicare non-coverage, or materially restrict coverage, for one or more of our products would have materially and adversely impacted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Market Education and Training on the Benefit of Our Products vis-à-vis Existing Treatment Alternatives</w:t>
      </w:r>
    </w:p>
    <w:p>
      <w:pPr>
        <w:spacing w:after="0" w:line="121" w:lineRule="exact"/>
        <w:rPr>
          <w:sz w:val="20"/>
          <w:szCs w:val="20"/>
          <w:color w:val="auto"/>
        </w:rPr>
      </w:pPr>
    </w:p>
    <w:p>
      <w:pPr>
        <w:ind w:right="120" w:firstLine="419"/>
        <w:spacing w:after="0" w:line="255" w:lineRule="auto"/>
        <w:rPr>
          <w:sz w:val="20"/>
          <w:szCs w:val="20"/>
          <w:color w:val="auto"/>
        </w:rPr>
      </w:pPr>
      <w:r>
        <w:rPr>
          <w:rFonts w:ascii="Times New Roman" w:cs="Times New Roman" w:eastAsia="Times New Roman" w:hAnsi="Times New Roman"/>
          <w:sz w:val="18"/>
          <w:szCs w:val="18"/>
          <w:color w:val="231F20"/>
        </w:rPr>
        <w:t>One of the key drivers of our success is educating ophthalmologists, optometrists, patients, and third-party payors about the clinical and safety benefits of our products and of the benefits of more proactive, interventional approach to treating glaucoma and DED. We believe the required market education and development is best accomplished through a differentiated, highly involved commercial approach. As such, we devote significant resources to onboarding our sales professionals and to continuously augmenting their knowledge and capabilities. Our sales professionals provide ECPs with the necessary education, training and support to adopt and continue to safely use our products. We believe that increasing acceptance and usage of our products will require continued investment in our sales force and education efforts to ensure ECPs, patients and third-party payors learn more about our products and appreciate our benefits to their target patient populations.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Maximizing Product Usage by Customers</w:t>
      </w:r>
    </w:p>
    <w:p>
      <w:pPr>
        <w:spacing w:after="0" w:line="121" w:lineRule="exact"/>
        <w:rPr>
          <w:sz w:val="20"/>
          <w:szCs w:val="20"/>
          <w:color w:val="auto"/>
        </w:rPr>
      </w:pPr>
    </w:p>
    <w:p>
      <w:pPr>
        <w:ind w:right="160" w:firstLine="419"/>
        <w:spacing w:after="0" w:line="254" w:lineRule="auto"/>
        <w:rPr>
          <w:sz w:val="20"/>
          <w:szCs w:val="20"/>
          <w:color w:val="auto"/>
        </w:rPr>
      </w:pPr>
      <w:r>
        <w:rPr>
          <w:rFonts w:ascii="Times New Roman" w:cs="Times New Roman" w:eastAsia="Times New Roman" w:hAnsi="Times New Roman"/>
          <w:sz w:val="18"/>
          <w:szCs w:val="18"/>
          <w:color w:val="231F20"/>
        </w:rPr>
        <w:t xml:space="preserve">Demand for our products will be highly dependent on our ability to develop their potential addressable markets and maximize the breadth of patients our products can serve. OMNI is indicated for canaloplasty followed by trabeculotomy to reduce elevated intraocular pressure (“IOP”) in adult patients with primary open-angle glaucoma (“POAG”) in the U.S. and with open-angle glaucoma (“OAG”) in the EU. We believe OMNI is the only device that is authorized by the FDA as an </w:t>
      </w:r>
      <w:r>
        <w:rPr>
          <w:rFonts w:ascii="Times New Roman" w:cs="Times New Roman" w:eastAsia="Times New Roman" w:hAnsi="Times New Roman"/>
          <w:sz w:val="18"/>
          <w:szCs w:val="18"/>
          <w:i w:val="1"/>
          <w:iCs w:val="1"/>
          <w:color w:val="231F20"/>
        </w:rPr>
        <w:t>ab interno</w:t>
      </w:r>
      <w:r>
        <w:rPr>
          <w:rFonts w:ascii="Times New Roman" w:cs="Times New Roman" w:eastAsia="Times New Roman" w:hAnsi="Times New Roman"/>
          <w:sz w:val="18"/>
          <w:szCs w:val="18"/>
          <w:color w:val="231F20"/>
        </w:rPr>
        <w:t xml:space="preserve"> procedure to: reduce IOP in adult patients with POAG across the spectrum of disease severity; be used in mild-to-moderate Combination Cataract or Standalone Procedures; access 360 degrees of the diseased conventional outflow pathway through a single clear corneal incision; and facilitate two consecutive procedures, canaloplasty and trabeculotomy, to comprehensively treat all three known areas of resistance in the conventional outflow pathway in a single operating room visit. Our ability to establish OMNI as the standard of care for all POAG patients by continuing to grow its adoption and utilization in Combination Cataract Procedures and by pioneering the development of the market for interventional Standalone Procedures will have a substantial impact on our future growth.</w:t>
      </w:r>
    </w:p>
    <w:p>
      <w:pPr>
        <w:spacing w:after="0" w:line="188"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231F20"/>
        </w:rPr>
        <w:t>We introduced our SION Surgical Instrument in the third quarter of 2022. SION satisfies the American Academy of Ophthalmology definition of goniotomy and is registered with the FDA as a Class I 510(k) exempt device. SION’s bladeless design, micro-engineered and precision manufactured using specialized lasers, excises tissue without cutting. SION grasps and removes diseased tissue as the surgeon sweeps the instrument around Schlemm’s canal with a single smooth motion. The bladeless technology of SION was developed with leading ophthalmic surgeons to improve safety and ease of use by eliminating the need to navigate sharp instrumentation within the eye’s anterior chamber and iridocorneal angle anatomy. SION allows us to serve specific subsets of customers who may prioritize a faster or simpler procedure. Our target customers for SION include three types of combination cataract MIGS surgeons that are distinct from target OMNI customers: (1) high volume cataract surgeons seeking to perform the quickest MIGS procedures, (2) surgeons who are initially less experienced with MIGS such as surgical fellows at academic institutions and (3) surgeons looking for the most cost effective MIGS procedures. We believe that these use cases have very little overlap with the use cases for our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89" w:right="399" w:bottom="1440" w:gutter="0" w:footer="0" w:header="0"/>
        </w:sectPr>
      </w:pPr>
    </w:p>
    <w:bookmarkStart w:id="70" w:name="page71"/>
    <w:bookmarkEnd w:id="70"/>
    <w:p>
      <w:pPr>
        <w:ind w:right="560"/>
        <w:spacing w:after="0" w:line="282" w:lineRule="auto"/>
        <w:rPr>
          <w:sz w:val="20"/>
          <w:szCs w:val="20"/>
          <w:color w:val="auto"/>
        </w:rPr>
      </w:pPr>
      <w:r>
        <w:rPr>
          <w:rFonts w:ascii="Times New Roman" w:cs="Times New Roman" w:eastAsia="Times New Roman" w:hAnsi="Times New Roman"/>
          <w:sz w:val="18"/>
          <w:szCs w:val="18"/>
          <w:color w:val="231F20"/>
        </w:rPr>
        <w:t>OMNI device. Our ability to establish SION as a product with differentiated ease of use, safety and efficacy will be an important driver of SION’s commercial growth and success.</w:t>
      </w:r>
    </w:p>
    <w:p>
      <w:pPr>
        <w:spacing w:after="0" w:line="162" w:lineRule="exact"/>
        <w:rPr>
          <w:sz w:val="20"/>
          <w:szCs w:val="20"/>
          <w:color w:val="auto"/>
        </w:rPr>
      </w:pPr>
    </w:p>
    <w:p>
      <w:pPr>
        <w:ind w:right="40" w:firstLine="419"/>
        <w:spacing w:after="0" w:line="253" w:lineRule="auto"/>
        <w:rPr>
          <w:sz w:val="20"/>
          <w:szCs w:val="20"/>
          <w:color w:val="auto"/>
        </w:rPr>
      </w:pPr>
      <w:r>
        <w:rPr>
          <w:rFonts w:ascii="Times New Roman" w:cs="Times New Roman" w:eastAsia="Times New Roman" w:hAnsi="Times New Roman"/>
          <w:sz w:val="18"/>
          <w:szCs w:val="18"/>
          <w:color w:val="231F20"/>
        </w:rPr>
        <w:t>TearCare is a unique open-eye heating and expression device designed to melt and remove meibomian gland obstructions. We believe TearCare has a compelling physiological profile to address obstruction from meibomian gland disease ("MGD"), which is the primary cause of evaporative DED, a disease characterized by low quality tears that evaporate prematurely. The current DED treatment market primarily consists of an abundance of OTC and prescription eyedrops that seek to lubricate the ocular surface, alleviate inflammation and/or increase tear production. However, OTC and prescription eyedrops are incapable of clearing obstructions in the meibomian glands and do not address MGD’s eyelid-borne physiology and poor tear quality. MGD is associated with up to 86% of DED cases and is a leading root cause of evaporative DED, which is characterized by low quality tears that evaporate prematurely. Clinical studies have demonstrated that treating MGD by liquefying and removing clogged meibum is the most effective method to eliminate obstructions and restore the lipid layer of tear film, thereby preventing premature evaporation of tears. TearCare was designed to be administered during the course of a routine office visit to an ECP, which makes it convenient for patients, and allows providers to maintain procedural throughput in their practices. Our ability to improve patient access and market education on TearCare and the benefits of proactive MGD treatment will be key drivers of TearCare’s future growth.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Operational Excellence and Cost Efficiency</w:t>
      </w:r>
    </w:p>
    <w:p>
      <w:pPr>
        <w:spacing w:after="0" w:line="12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231F20"/>
        </w:rPr>
        <w:t>We aim to achieve operating and financial milestones with optimal capital efficiency, and focus on our market value relative to invested capital as a key measurement of our performance. To date, we have raised $402.4 million in net proceeds from equity and debt financings, including $252.2 million from our IPO. With a portion of these net proceeds (our December 31, 2023 cash and equivalents was $138.1 million), we have developed and commercially launched two clinically differentiated products, funded multiple completed and ongoing clinical trials, and built our management team and company infrastructure to support the continued growth of our business. We believe this level of operational and commercial progress relative to our total capital investment to date compares favorably to medical technology peers and we seek to design products that can achieve attractive long-term gross margins. However, during the year ended December 31, 2023, global and regional economies, as well as the markets we serve, have experienced significant volatility, including as a result of the impacts of macroeconomic conditions, such as inflation, supply shortages, and geopolitical pressures. While the impact of these factors is not readily determinable, we have not been materially impacted by these macroeconomic conditions. However, the duration and scope of these conditions cannot be predicted with certainty, and it is uncertain what impacts, if any, these pressures may have on our ability to support the efficient and sustainable growth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21" w:lineRule="exact"/>
        <w:rPr>
          <w:sz w:val="20"/>
          <w:szCs w:val="20"/>
          <w:color w:val="auto"/>
        </w:rPr>
      </w:pPr>
    </w:p>
    <w:p>
      <w:pPr>
        <w:ind w:right="240" w:firstLine="419"/>
        <w:spacing w:after="0" w:line="244" w:lineRule="auto"/>
        <w:rPr>
          <w:sz w:val="20"/>
          <w:szCs w:val="20"/>
          <w:color w:val="auto"/>
        </w:rPr>
      </w:pPr>
      <w:r>
        <w:rPr>
          <w:rFonts w:ascii="Times New Roman" w:cs="Times New Roman" w:eastAsia="Times New Roman" w:hAnsi="Times New Roman"/>
          <w:sz w:val="18"/>
          <w:szCs w:val="18"/>
          <w:color w:val="231F20"/>
        </w:rPr>
        <w:t>We currently derive the majority of our U.S. revenue from the sale of our OMNI and SION products to ASCs and HOPDs and our TearCare products to ECPs. During the years ended December 31, 2023 and 2022, the revenue from our Surgical Glaucoma segment accounted for over 90% of our total revenue, substantially all of which was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TearCare SmartHubs</w:t>
      </w:r>
      <w:r>
        <w:rPr>
          <w:rFonts w:ascii="Times New Roman" w:cs="Times New Roman" w:eastAsia="Times New Roman" w:hAnsi="Times New Roman"/>
          <w:sz w:val="24"/>
          <w:szCs w:val="24"/>
          <w:color w:val="000000"/>
          <w:vertAlign w:val="superscript"/>
        </w:rPr>
        <w:t>TM</w:t>
      </w:r>
      <w:r>
        <w:rPr>
          <w:rFonts w:ascii="Times New Roman" w:cs="Times New Roman" w:eastAsia="Times New Roman" w:hAnsi="Times New Roman"/>
          <w:sz w:val="18"/>
          <w:szCs w:val="18"/>
          <w:color w:val="231F20"/>
        </w:rPr>
        <w:t xml:space="preserve"> (“SmartHubs”), multiple single-use TearCare SmartLids</w:t>
      </w:r>
      <w:r>
        <w:rPr>
          <w:rFonts w:ascii="Times New Roman" w:cs="Times New Roman" w:eastAsia="Times New Roman" w:hAnsi="Times New Roman"/>
          <w:sz w:val="18"/>
          <w:szCs w:val="18"/>
          <w:color w:val="000000"/>
        </w:rPr>
        <w:t>® (“SmartLids”)</w:t>
      </w:r>
      <w:r>
        <w:rPr>
          <w:rFonts w:ascii="Times New Roman" w:cs="Times New Roman" w:eastAsia="Times New Roman" w:hAnsi="Times New Roman"/>
          <w:sz w:val="18"/>
          <w:szCs w:val="18"/>
          <w:color w:val="231F20"/>
        </w:rPr>
        <w:t xml:space="preserve"> and other accessories. After utilizing their initial inventory, customers can reorder SmartLids as needed. No single customer accounted for 10% or more of our revenue for the years ended December 31, 2023 and 2022.</w:t>
      </w:r>
    </w:p>
    <w:p>
      <w:pPr>
        <w:spacing w:after="0" w:line="198" w:lineRule="exact"/>
        <w:rPr>
          <w:sz w:val="20"/>
          <w:szCs w:val="20"/>
          <w:color w:val="auto"/>
        </w:rPr>
      </w:pPr>
    </w:p>
    <w:p>
      <w:pPr>
        <w:jc w:val="both"/>
        <w:ind w:right="60" w:firstLine="419"/>
        <w:spacing w:after="0" w:line="266" w:lineRule="auto"/>
        <w:rPr>
          <w:sz w:val="20"/>
          <w:szCs w:val="20"/>
          <w:color w:val="auto"/>
        </w:rPr>
      </w:pPr>
      <w:r>
        <w:rPr>
          <w:rFonts w:ascii="Times New Roman" w:cs="Times New Roman" w:eastAsia="Times New Roman" w:hAnsi="Times New Roman"/>
          <w:sz w:val="18"/>
          <w:szCs w:val="18"/>
          <w:color w:val="231F20"/>
        </w:rPr>
        <w:t>The growth in our revenue is driven by the demand for elective surgery and treatment utilizing our products in the United States and Europe. Such demand is often lower during summer months because of ECP vacations and in winter months because of fewer business or surgery days due to holidays and adverse weather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Cost of Goods Sold and Gross Margin</w:t>
      </w:r>
    </w:p>
    <w:p>
      <w:pPr>
        <w:spacing w:after="0" w:line="121" w:lineRule="exact"/>
        <w:rPr>
          <w:sz w:val="20"/>
          <w:szCs w:val="20"/>
          <w:color w:val="auto"/>
        </w:rPr>
      </w:pPr>
    </w:p>
    <w:p>
      <w:pPr>
        <w:ind w:right="140" w:firstLine="419"/>
        <w:spacing w:after="0" w:line="281" w:lineRule="auto"/>
        <w:rPr>
          <w:sz w:val="20"/>
          <w:szCs w:val="20"/>
          <w:color w:val="auto"/>
        </w:rPr>
      </w:pPr>
      <w:r>
        <w:rPr>
          <w:rFonts w:ascii="Times New Roman" w:cs="Times New Roman" w:eastAsia="Times New Roman" w:hAnsi="Times New Roman"/>
          <w:sz w:val="17"/>
          <w:szCs w:val="17"/>
          <w:color w:val="231F20"/>
        </w:rPr>
        <w:t>Our components and products are produced by third-party suppliers and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71" w:name="page72"/>
    <w:bookmarkEnd w:id="71"/>
    <w:p>
      <w:pPr>
        <w:ind w:firstLine="419"/>
        <w:spacing w:after="0" w:line="255" w:lineRule="auto"/>
        <w:rPr>
          <w:sz w:val="20"/>
          <w:szCs w:val="20"/>
          <w:color w:val="auto"/>
        </w:rPr>
      </w:pPr>
      <w:r>
        <w:rPr>
          <w:rFonts w:ascii="Times New Roman" w:cs="Times New Roman" w:eastAsia="Times New Roman" w:hAnsi="Times New Roman"/>
          <w:sz w:val="18"/>
          <w:szCs w:val="18"/>
          <w:color w:val="231F20"/>
        </w:rPr>
        <w:t>We calculate gross margin as gross profit divided by revenue. Our gross margin has been and we believe it will continue to be, affected by a variety of factors, including differences in segment gross margins, changes in average selling prices, product sales mix, production and ordering volumes, manufacturing costs, product yields, and headcount. In general, we expect our gross margins to increase over the long term to the extent our production and ordering volumes increase and as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Expenses</w:t>
      </w:r>
    </w:p>
    <w:p>
      <w:pPr>
        <w:spacing w:after="0" w:line="121" w:lineRule="exact"/>
        <w:rPr>
          <w:sz w:val="20"/>
          <w:szCs w:val="20"/>
          <w:color w:val="auto"/>
        </w:rPr>
      </w:pPr>
    </w:p>
    <w:p>
      <w:pPr>
        <w:ind w:right="120" w:firstLine="419"/>
        <w:spacing w:after="0" w:line="254"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information technology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programs, develop new products, and improve our existing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 Expenses</w:t>
      </w:r>
    </w:p>
    <w:p>
      <w:pPr>
        <w:spacing w:after="0" w:line="121" w:lineRule="exact"/>
        <w:rPr>
          <w:sz w:val="20"/>
          <w:szCs w:val="20"/>
          <w:color w:val="auto"/>
        </w:rPr>
      </w:pPr>
    </w:p>
    <w:p>
      <w:pPr>
        <w:ind w:right="80" w:firstLine="41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Expense</w:t>
      </w:r>
    </w:p>
    <w:p>
      <w:pPr>
        <w:spacing w:after="0" w:line="121" w:lineRule="exact"/>
        <w:rPr>
          <w:sz w:val="20"/>
          <w:szCs w:val="20"/>
          <w:color w:val="auto"/>
        </w:rPr>
      </w:pPr>
    </w:p>
    <w:p>
      <w:pPr>
        <w:ind w:right="540" w:firstLine="41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incurred on our outstanding indebtedness and non-cash interest related to the accretion of debt discount and amortization of debt issuance costs associated with our term loan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Income (Expense), Net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Other income (expense), net consists of interest income and amortization on held-to-maturity investments in treasury securities.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72" w:name="page73"/>
    <w:bookmarkEnd w:id="72"/>
    <w:p>
      <w:pPr>
        <w:ind w:left="120"/>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3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Percentage of total revenue</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91.7 %</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92.0 %</w:t>
            </w: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Percentage of total revenue</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8.3 %</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8.0 %</w:t>
            </w: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82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81,056</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71,331</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22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(1,015 )</w:t>
            </w:r>
          </w:p>
        </w:tc>
        <w:tc>
          <w:tcPr>
            <w:tcW w:w="3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(25.0 )</w:t>
            </w:r>
          </w:p>
        </w:tc>
        <w:tc>
          <w:tcPr>
            <w:tcW w:w="60" w:type="dxa"/>
            <w:vAlign w:val="bottom"/>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(480 )</w:t>
            </w:r>
          </w:p>
        </w:tc>
        <w:tc>
          <w:tcPr>
            <w:tcW w:w="3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88.1 %</w:t>
            </w:r>
          </w:p>
        </w:tc>
        <w:tc>
          <w:tcPr>
            <w:tcW w:w="3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87.4 %</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54.8 %</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29.1 %</w:t>
            </w: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85.3 %</w:t>
            </w:r>
          </w:p>
        </w:tc>
        <w:tc>
          <w:tcPr>
            <w:tcW w:w="3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82.7 %</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(5,303 )</w:t>
            </w:r>
          </w:p>
        </w:tc>
        <w:tc>
          <w:tcPr>
            <w:tcW w:w="3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(23.2 )</w:t>
            </w:r>
          </w:p>
        </w:tc>
        <w:tc>
          <w:tcPr>
            <w:tcW w:w="6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120,065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(11,172 )</w:t>
            </w:r>
          </w:p>
        </w:tc>
        <w:tc>
          <w:tcPr>
            <w:tcW w:w="3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c>
          <w:tcPr>
            <w:tcW w:w="60" w:type="dxa"/>
            <w:vAlign w:val="bottom"/>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(16,475 )</w:t>
            </w:r>
          </w:p>
        </w:tc>
        <w:tc>
          <w:tcPr>
            <w:tcW w:w="3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c>
          <w:tcPr>
            <w:tcW w:w="6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(57,274 )</w:t>
            </w:r>
          </w:p>
        </w:tc>
        <w:tc>
          <w:tcPr>
            <w:tcW w:w="3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(83,954 )</w:t>
            </w: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26,680</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(31.8 )</w:t>
            </w:r>
          </w:p>
        </w:tc>
        <w:tc>
          <w:tcPr>
            <w:tcW w:w="60" w:type="dxa"/>
            <w:vAlign w:val="bottom"/>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(5,408 )</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(4,466 )</w:t>
            </w:r>
          </w:p>
        </w:tc>
        <w:tc>
          <w:tcPr>
            <w:tcW w:w="3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(942 )</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47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2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(55,437 )</w:t>
            </w:r>
          </w:p>
        </w:tc>
        <w:tc>
          <w:tcPr>
            <w:tcW w:w="3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(86,195 )</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30,758</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(35.7 )</w:t>
            </w:r>
          </w:p>
        </w:tc>
        <w:tc>
          <w:tcPr>
            <w:tcW w:w="60" w:type="dxa"/>
            <w:vAlign w:val="bottom"/>
          </w:tcPr>
          <w:p>
            <w:pPr>
              <w:spacing w:after="0"/>
              <w:rPr>
                <w:sz w:val="24"/>
                <w:szCs w:val="24"/>
                <w:color w:val="auto"/>
              </w:rPr>
            </w:pPr>
          </w:p>
        </w:tc>
      </w:tr>
      <w:tr>
        <w:trPr>
          <w:trHeight w:val="245"/>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(55,547 )</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(86,242 )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-3796665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-3796665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-3796665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-3171190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-3171190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-3171190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-2545080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-2545080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-2545080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-1919605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-1919605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-1919605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-1293495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-1293495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-1293495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-659765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-659765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-659765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left="120" w:right="380" w:firstLine="419"/>
        <w:spacing w:after="0" w:line="257" w:lineRule="auto"/>
        <w:rPr>
          <w:sz w:val="20"/>
          <w:szCs w:val="20"/>
          <w:color w:val="auto"/>
        </w:rPr>
      </w:pPr>
      <w:r>
        <w:rPr>
          <w:rFonts w:ascii="Times New Roman" w:cs="Times New Roman" w:eastAsia="Times New Roman" w:hAnsi="Times New Roman"/>
          <w:sz w:val="18"/>
          <w:szCs w:val="18"/>
          <w:i w:val="1"/>
          <w:iCs w:val="1"/>
          <w:color w:val="231F20"/>
        </w:rPr>
        <w:t>Revenue</w:t>
      </w:r>
      <w:r>
        <w:rPr>
          <w:rFonts w:ascii="Times New Roman" w:cs="Times New Roman" w:eastAsia="Times New Roman" w:hAnsi="Times New Roman"/>
          <w:sz w:val="18"/>
          <w:szCs w:val="18"/>
          <w:color w:val="231F20"/>
        </w:rPr>
        <w:t>. Revenue in the year ended December 31, 2023 was $81.1 million, an increase of $9.7 million, or 13.6%, compared to the prior year.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2023, Surgical Glaucoma and Dry Eye sales contributed $74.3 million and $6.7 million, respectively, compared to $65.6 million and $5.7 million, respectively, in 2022. </w:t>
      </w:r>
      <w:r>
        <w:rPr>
          <w:rFonts w:ascii="Times New Roman" w:cs="Times New Roman" w:eastAsia="Times New Roman" w:hAnsi="Times New Roman"/>
          <w:sz w:val="18"/>
          <w:szCs w:val="18"/>
          <w:color w:val="000000"/>
        </w:rPr>
        <w:t>The overall increase in Surgical Glaucoma revenue was primarily attributable to an increase in the number of OMNI and SION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units sold in the year ended December 31, 2023. This growth in units was driven by both a growth in the number of ordering facilities, as well as an increase in unit utilization per ordering facility. Our Dry Eye revenues increased in the year ended December 31, 2023 due to an increase in total TearCare procedures performed versus the prior year.</w:t>
      </w:r>
    </w:p>
    <w:p>
      <w:pPr>
        <w:spacing w:after="0" w:line="182" w:lineRule="exact"/>
        <w:rPr>
          <w:sz w:val="20"/>
          <w:szCs w:val="20"/>
          <w:color w:val="auto"/>
        </w:rPr>
      </w:pPr>
    </w:p>
    <w:p>
      <w:pPr>
        <w:ind w:left="120" w:right="120" w:firstLine="419"/>
        <w:spacing w:after="0" w:line="258" w:lineRule="auto"/>
        <w:rPr>
          <w:sz w:val="20"/>
          <w:szCs w:val="20"/>
          <w:color w:val="auto"/>
        </w:rPr>
      </w:pPr>
      <w:r>
        <w:rPr>
          <w:rFonts w:ascii="Times New Roman" w:cs="Times New Roman" w:eastAsia="Times New Roman" w:hAnsi="Times New Roman"/>
          <w:sz w:val="18"/>
          <w:szCs w:val="18"/>
          <w:i w:val="1"/>
          <w:iCs w:val="1"/>
          <w:color w:val="231F20"/>
        </w:rPr>
        <w:t>Cost of Goods Sold</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Cost of goods sold during the year ended December 31, 2023, decreased $0.5 million, or 3.9%, compared to the prior year.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Surgical Glaucoma cost of goods sold increased $0.5 million as compared to the comparable period in 2022. The increase was driven by increased sales activity, and product mix, partially offset by lower per-unit production costs as a result of continued manufacturing efficiencies. Dry Eye cost of goods sold decreased $1.0 million compared to the prior year, driven primarily by charges associated with the voluntary recall of our SmartHub 1.0 devices in 2022, as well as increased efficiencies driven by increased volumes.</w:t>
      </w:r>
    </w:p>
    <w:p>
      <w:pPr>
        <w:spacing w:after="0" w:line="183" w:lineRule="exact"/>
        <w:rPr>
          <w:sz w:val="20"/>
          <w:szCs w:val="20"/>
          <w:color w:val="auto"/>
        </w:rPr>
      </w:pPr>
    </w:p>
    <w:p>
      <w:pPr>
        <w:ind w:left="120" w:right="300" w:firstLine="419"/>
        <w:spacing w:after="0" w:line="258" w:lineRule="auto"/>
        <w:rPr>
          <w:sz w:val="20"/>
          <w:szCs w:val="20"/>
          <w:color w:val="auto"/>
        </w:rPr>
      </w:pPr>
      <w:r>
        <w:rPr>
          <w:rFonts w:ascii="Times New Roman" w:cs="Times New Roman" w:eastAsia="Times New Roman" w:hAnsi="Times New Roman"/>
          <w:sz w:val="18"/>
          <w:szCs w:val="18"/>
          <w:i w:val="1"/>
          <w:iCs w:val="1"/>
          <w:color w:val="231F20"/>
        </w:rPr>
        <w:t>Gross Profit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Our total gross profit was $69.2 million for the year ended December 31, 2023, an increase of $10.2 million, or 17.3%, compared to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the prior year. Total gross margin increased to 85.3% for the year ended December 31, 2023, up from 82.7% in the prior year period. The increase in gross margin was primarily due to increased sales volume in OMNI units and manufacturing efficiencies. Gross margin in our Surgical Glaucoma segment was 88.1% for the year ended December 31, 2023, an increase from 87.4% for the prior year period. In our Dry Eye segment, gross margin increased from 29.1% in 2022, to 54.8% for the year ended December 31, 2023.</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89" w:right="279" w:bottom="1440" w:gutter="0" w:footer="0" w:header="0"/>
        </w:sectPr>
      </w:pPr>
    </w:p>
    <w:bookmarkStart w:id="73" w:name="page74"/>
    <w:bookmarkEnd w:id="73"/>
    <w:p>
      <w:pPr>
        <w:ind w:left="420"/>
        <w:spacing w:after="0"/>
        <w:rPr>
          <w:sz w:val="20"/>
          <w:szCs w:val="20"/>
          <w:color w:val="auto"/>
        </w:rPr>
      </w:pPr>
      <w:r>
        <w:rPr>
          <w:rFonts w:ascii="Times New Roman" w:cs="Times New Roman" w:eastAsia="Times New Roman" w:hAnsi="Times New Roman"/>
          <w:sz w:val="18"/>
          <w:szCs w:val="18"/>
          <w:i w:val="1"/>
          <w:iCs w:val="1"/>
          <w:color w:val="231F20"/>
        </w:rPr>
        <w:t>Research and Development Expenses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R&amp;D expenses were $17.6 million for the year ended December 31, 2023, a decrease of $5.3 million,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23.2%, compared to the prior year. The decrease was primarily attributable to a $2.3 million decrease in costs associated with clinical studies and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In addition, the Company saw a $1.2 million decrease in consulting, legal, and professional services and a $0.5 million decrease in personnel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including payroll and related benefits.</w:t>
      </w:r>
    </w:p>
    <w:p>
      <w:pPr>
        <w:spacing w:after="0" w:line="205" w:lineRule="exact"/>
        <w:rPr>
          <w:sz w:val="20"/>
          <w:szCs w:val="20"/>
          <w:color w:val="auto"/>
        </w:rPr>
      </w:pPr>
    </w:p>
    <w:p>
      <w:pPr>
        <w:jc w:val="both"/>
        <w:ind w:right="140" w:firstLine="419"/>
        <w:spacing w:after="0" w:line="258" w:lineRule="auto"/>
        <w:rPr>
          <w:sz w:val="20"/>
          <w:szCs w:val="20"/>
          <w:color w:val="auto"/>
        </w:rPr>
      </w:pPr>
      <w:r>
        <w:rPr>
          <w:rFonts w:ascii="Times New Roman" w:cs="Times New Roman" w:eastAsia="Times New Roman" w:hAnsi="Times New Roman"/>
          <w:sz w:val="18"/>
          <w:szCs w:val="18"/>
          <w:i w:val="1"/>
          <w:iCs w:val="1"/>
          <w:color w:val="231F20"/>
        </w:rPr>
        <w:t>Selling, General, and Administrative Expenses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SG&amp;A expenses were $108.9 million for the year ended December 31, 2023, a decrease of $11.2</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million, or 9.3%, compared to the prior year period. The decrease was primarily attributable to a $5.1 million decrease in personnel expenses, including payroll and related benefits, commissions, and incentive compensation. In addition, the Company saw a $3.9 million decrease in marketing expenses, a $3.2 million decrease in consulting, recruiting, and professional services, and a $0.8 million decrease in facilities expenses. These decreases were offset by a $2.0 million increase in legal, accounting and related expenses, and a $0.7 million increase in stock-based compensation expense.</w:t>
      </w:r>
    </w:p>
    <w:p>
      <w:pPr>
        <w:spacing w:after="0" w:line="183" w:lineRule="exact"/>
        <w:rPr>
          <w:sz w:val="20"/>
          <w:szCs w:val="20"/>
          <w:color w:val="auto"/>
        </w:rPr>
      </w:pPr>
    </w:p>
    <w:p>
      <w:pPr>
        <w:jc w:val="both"/>
        <w:ind w:right="160" w:firstLine="419"/>
        <w:spacing w:after="0" w:line="284" w:lineRule="auto"/>
        <w:rPr>
          <w:sz w:val="20"/>
          <w:szCs w:val="20"/>
          <w:color w:val="auto"/>
        </w:rPr>
      </w:pPr>
      <w:r>
        <w:rPr>
          <w:rFonts w:ascii="Times New Roman" w:cs="Times New Roman" w:eastAsia="Times New Roman" w:hAnsi="Times New Roman"/>
          <w:sz w:val="18"/>
          <w:szCs w:val="18"/>
          <w:i w:val="1"/>
          <w:iCs w:val="1"/>
          <w:color w:val="231F20"/>
        </w:rPr>
        <w:t>Interest Expense</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Interest expense was $5.4 million, an increase of $0.9 million, or 21.1%, compared to the prior year period due to an increase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lending rates during the year ended December 31, 2023.</w:t>
      </w:r>
    </w:p>
    <w:p>
      <w:pPr>
        <w:spacing w:after="0" w:line="158" w:lineRule="exact"/>
        <w:rPr>
          <w:sz w:val="20"/>
          <w:szCs w:val="20"/>
          <w:color w:val="auto"/>
        </w:rPr>
      </w:pPr>
    </w:p>
    <w:p>
      <w:pPr>
        <w:jc w:val="both"/>
        <w:ind w:firstLine="419"/>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Other Income (Expense), Net. </w:t>
      </w:r>
      <w:r>
        <w:rPr>
          <w:rFonts w:ascii="Times New Roman" w:cs="Times New Roman" w:eastAsia="Times New Roman" w:hAnsi="Times New Roman"/>
          <w:sz w:val="18"/>
          <w:szCs w:val="18"/>
          <w:color w:val="000000"/>
        </w:rPr>
        <w:t>Other income, net was $7.2 million, an increase of $5.0 million, or 225.6%, for the year ended December 31, 2023 as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compared to $2.2 million for the year ended December 31, 2022. The income is attributable to the amortization of purchase discounts on held-to-maturity cash-equivalent investments. The Company began investing in treasury securities in June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indicated (in thousands):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69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(47,184 )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(75,965 )</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(791 )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(970 )</w:t>
            </w: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(46,871 )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(75,687 )</w:t>
            </w:r>
          </w:p>
        </w:tc>
      </w:tr>
      <w:tr>
        <w:trPr>
          <w:trHeight w:val="20"/>
        </w:trPr>
        <w:tc>
          <w:tcPr>
            <w:tcW w:w="6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-187960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-187960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Net Cash Used in Operating Activities</w:t>
      </w:r>
    </w:p>
    <w:p>
      <w:pPr>
        <w:spacing w:after="0" w:line="119"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$47.2 million, consisting primarily of a net loss of $55.5 million and a net change in our operating assets and liabilities of $9.1 million, partially offset by non-cash charges of $17.5 million. The change in our net operating assets and liabilities was primarily due to a $7.4 million decrease in accrued and other current liabilities and accrued compensation. This was due to a decline in sales commissions and incentive compensation, as well as reduced purchasing of inventory due to the impacts of the Draft LCDs in the fourth quarter of 2023. The Company also had a $2.2 million increase in inventory to support the planned growth in operations. These were partially offset by $0.8 million decrease in prepaid expenses and other current assets due to lower insurance premiums, as well as a $0.7 million decrease in accounts receivable. The non-cash charges primarily consisted of $14.6 million related to stock-based compensation, $0.6 million of depreciation, $0.6 of accretion of debt discount and amortization of debt issuance costs, and $1.0 million of noncash operating lease expense.</w:t>
      </w:r>
    </w:p>
    <w:p>
      <w:pPr>
        <w:spacing w:after="0" w:line="192" w:lineRule="exact"/>
        <w:rPr>
          <w:sz w:val="20"/>
          <w:szCs w:val="20"/>
          <w:color w:val="auto"/>
        </w:rPr>
      </w:pPr>
    </w:p>
    <w:p>
      <w:pPr>
        <w:ind w:right="100" w:firstLine="41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$76.0 million, consisting primarily of a net loss of $86.2 million and a net change in our operating assets and liabilities of $5.7 million, partially offset by non-cash charges of $16.0 million. The change in our net operating assets and liabilities was primarily due to a $6.8 million increase in accounts receivable and a $3.3 million increase in inventory to support the continued growth of our operations. The Company had a $0.7 million decrease in accounts payable, while accrued compensation, as well as accrued and other current liabilities, increased $4.0 million, driven by the timing of payments on invoices and bonuses. The non-cash charges primarily consisted of $13.0 million related to stock-based compensation, $0.7 million of depreciation, $0.7 million of accretion of debt discount and amortization of debt issuance costs, and $0.5 million of noncash operating lease expense.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1" w:right="399" w:bottom="1440" w:gutter="0" w:footer="0" w:header="0"/>
        </w:sectPr>
      </w:pPr>
    </w:p>
    <w:bookmarkStart w:id="74" w:name="page75"/>
    <w:bookmarkEnd w:id="74"/>
    <w:p>
      <w:pPr>
        <w:ind w:left="420"/>
        <w:spacing w:after="0"/>
        <w:rPr>
          <w:sz w:val="20"/>
          <w:szCs w:val="20"/>
          <w:color w:val="auto"/>
        </w:rPr>
      </w:pPr>
      <w:r>
        <w:rPr>
          <w:rFonts w:ascii="Times New Roman" w:cs="Times New Roman" w:eastAsia="Times New Roman" w:hAnsi="Times New Roman"/>
          <w:sz w:val="18"/>
          <w:szCs w:val="18"/>
          <w:i w:val="1"/>
          <w:iCs w:val="1"/>
          <w:color w:val="231F20"/>
        </w:rPr>
        <w:t>Net Cash Used in Investing Activities</w:t>
      </w:r>
    </w:p>
    <w:p>
      <w:pPr>
        <w:spacing w:after="0" w:line="119"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231F20"/>
        </w:rPr>
        <w:t>Net cash used in investing activities in the years ended December 31, 2023 and 2022 was $0.8 and $1.0 million, consisting of purchases of property and equipment.</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Net Cash Provided by Financing Activities</w:t>
      </w:r>
    </w:p>
    <w:p>
      <w:pPr>
        <w:spacing w:after="0" w:line="119" w:lineRule="exact"/>
        <w:rPr>
          <w:sz w:val="20"/>
          <w:szCs w:val="20"/>
          <w:color w:val="auto"/>
        </w:rPr>
      </w:pPr>
    </w:p>
    <w:p>
      <w:pPr>
        <w:ind w:right="320" w:firstLine="419"/>
        <w:spacing w:after="0" w:line="282" w:lineRule="auto"/>
        <w:rPr>
          <w:sz w:val="20"/>
          <w:szCs w:val="20"/>
          <w:color w:val="auto"/>
        </w:rPr>
      </w:pPr>
      <w:r>
        <w:rPr>
          <w:rFonts w:ascii="Times New Roman" w:cs="Times New Roman" w:eastAsia="Times New Roman" w:hAnsi="Times New Roman"/>
          <w:sz w:val="18"/>
          <w:szCs w:val="18"/>
          <w:color w:val="231F20"/>
        </w:rPr>
        <w:t>Net cash provided by financing activities in the years ended December 31, 2023 and 2022 was $1.1 and $1.2 million, which primarily relates to proceeds from the exercise of common stock options and proceeds from employee stock purchase plan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21"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231F20"/>
        </w:rPr>
        <w:t>To date, our primary sources of capital have been private placements of redeemable convertible preferred stock, debt financing agreements, the sale of common stock in our IPO, and revenue from the sale of our products. Since our inception through December 31, 2023, we have raised an aggregate of approximately $402.4 million in net proceeds from sales of our redeemable convertible preferred stock and common stock and borrowed $32.9 million of net proceeds under our term loans. In January 2024, we entered into a Loan and Security Agreement (the “Hercules Loan Agreement”) with Hercules Capital, Inc (“Hercules”) and certain of its affiliates (collectively with Hercules, the “Lenders”), which provides for a senior secured term loan facility in the aggregate principal amount of up to $65.0 million. We used the proceeds from an initial $35.0 million tranche funded under the Hercules Loan Agreement to discharge our indebtedness under our prior secured credit facility with MidCap Financial Trust and certain of its affiliates (the “Prior Lenders”). While our indebtedness to Lenders remains outstanding, we are required to use commercially reasonable efforts to grant to Lenders the option to invest up to $3.0 million in our next round of equity financing, if any, broadly marketed to multiple investors on the same terms, conditions and pricing offered to investors in such subsequent equity financing.</w:t>
      </w:r>
    </w:p>
    <w:p>
      <w:pPr>
        <w:spacing w:after="0" w:line="194" w:lineRule="exact"/>
        <w:rPr>
          <w:sz w:val="20"/>
          <w:szCs w:val="20"/>
          <w:color w:val="auto"/>
        </w:rPr>
      </w:pPr>
    </w:p>
    <w:p>
      <w:pPr>
        <w:ind w:right="180" w:firstLine="419"/>
        <w:spacing w:after="0" w:line="261" w:lineRule="auto"/>
        <w:rPr>
          <w:sz w:val="20"/>
          <w:szCs w:val="20"/>
          <w:color w:val="auto"/>
        </w:rPr>
      </w:pPr>
      <w:r>
        <w:rPr>
          <w:rFonts w:ascii="Times New Roman" w:cs="Times New Roman" w:eastAsia="Times New Roman" w:hAnsi="Times New Roman"/>
          <w:sz w:val="18"/>
          <w:szCs w:val="18"/>
          <w:color w:val="231F20"/>
        </w:rPr>
        <w:t>As of December 31, 2023, we had cash and cash equivalents of $138.1 million, an accumulated deficit of $294.8 million and $35.0 million outstanding under our term loan agreement with our Prior Lenders (before debt discount). Based on our current planned operations, we expect our cash and cash equivalents and additional borrowings available under the Hercules Loan Agreement will enable us to fund our operations for at least the next 12 months and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MidCap Loan Agreements</w:t>
      </w:r>
    </w:p>
    <w:p>
      <w:pPr>
        <w:spacing w:after="0" w:line="121"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auto"/>
        </w:rPr>
        <w:t xml:space="preserve">In January 2019, we entered into credit and security agreements with the Prior Lenders. These agreements were amended and restated in November 2020, providing for a maximum $40.0 million credit facility consisting of a $35.0 million senior secured term loan (the "2020 Term Loan") and a $5.0 million revolving loan (the "2020 Revolver” and together with the 2020 Term Loan, the “MidCap Credit Facility”). </w:t>
      </w:r>
      <w:r>
        <w:rPr>
          <w:rFonts w:ascii="Times New Roman" w:cs="Times New Roman" w:eastAsia="Times New Roman" w:hAnsi="Times New Roman"/>
          <w:sz w:val="18"/>
          <w:szCs w:val="18"/>
          <w:color w:val="231F20"/>
        </w:rPr>
        <w:t>In July 2023, we terminated the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Revolver.</w:t>
      </w:r>
    </w:p>
    <w:p>
      <w:pPr>
        <w:spacing w:after="0" w:line="180" w:lineRule="exact"/>
        <w:rPr>
          <w:sz w:val="20"/>
          <w:szCs w:val="20"/>
          <w:color w:val="auto"/>
        </w:rPr>
      </w:pPr>
    </w:p>
    <w:p>
      <w:pPr>
        <w:ind w:right="200" w:firstLine="419"/>
        <w:spacing w:after="0" w:line="276" w:lineRule="auto"/>
        <w:rPr>
          <w:sz w:val="20"/>
          <w:szCs w:val="20"/>
          <w:color w:val="auto"/>
        </w:rPr>
      </w:pPr>
      <w:r>
        <w:rPr>
          <w:rFonts w:ascii="Times New Roman" w:cs="Times New Roman" w:eastAsia="Times New Roman" w:hAnsi="Times New Roman"/>
          <w:sz w:val="17"/>
          <w:szCs w:val="17"/>
          <w:color w:val="231F20"/>
        </w:rPr>
        <w:t xml:space="preserve">The Amended and Restated Credit and Security Agreement (Term Loan) evidencing the 2020 Term Loan (the “MidCap Term Loan Agreement”) extended the maturity date of the 2020 Term Loan to November 1, 2025 and adjusted the stated floating interest rate to reserve-adjusted SOFR, </w:t>
      </w:r>
      <w:r>
        <w:rPr>
          <w:rFonts w:ascii="Times New Roman" w:cs="Times New Roman" w:eastAsia="Times New Roman" w:hAnsi="Times New Roman"/>
          <w:sz w:val="17"/>
          <w:szCs w:val="17"/>
          <w:i w:val="1"/>
          <w:iCs w:val="1"/>
          <w:color w:val="231F20"/>
        </w:rPr>
        <w:t>plus</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231F20"/>
        </w:rPr>
        <w:t>7.00%. Principal payments under the MidCap Term Loan Agreement were extended and scheduled to begin in December 2024. The final payment fee was amended to 6.0%.</w:t>
      </w:r>
    </w:p>
    <w:p>
      <w:pPr>
        <w:spacing w:after="0" w:line="181" w:lineRule="exact"/>
        <w:rPr>
          <w:sz w:val="20"/>
          <w:szCs w:val="20"/>
          <w:color w:val="auto"/>
        </w:rPr>
      </w:pPr>
    </w:p>
    <w:p>
      <w:pPr>
        <w:ind w:right="80" w:firstLine="419"/>
        <w:spacing w:after="0" w:line="256" w:lineRule="auto"/>
        <w:rPr>
          <w:sz w:val="20"/>
          <w:szCs w:val="20"/>
          <w:color w:val="auto"/>
        </w:rPr>
      </w:pPr>
      <w:r>
        <w:rPr>
          <w:rFonts w:ascii="Times New Roman" w:cs="Times New Roman" w:eastAsia="Times New Roman" w:hAnsi="Times New Roman"/>
          <w:sz w:val="18"/>
          <w:szCs w:val="18"/>
          <w:color w:val="231F20"/>
        </w:rPr>
        <w:t>Our obligations under the MidCap Term Loan Agreement were guaranteed by us and our future subsidiaries, subject to exceptions for certain foreign subsidiaries. Our obligations under the agreements were secured by substantially all of our assets, including our material intellectual property. Additionally, we were subject to customary affirmative and negative covenants, including covenants that limited or restricted our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As of December 31, 2023, we were in compliance with all financial and non-financial covenants under the MidCap Term Loan Agreement.</w:t>
      </w:r>
    </w:p>
    <w:p>
      <w:pPr>
        <w:spacing w:after="0" w:line="187" w:lineRule="exact"/>
        <w:rPr>
          <w:sz w:val="20"/>
          <w:szCs w:val="20"/>
          <w:color w:val="auto"/>
        </w:rPr>
      </w:pPr>
    </w:p>
    <w:p>
      <w:pPr>
        <w:ind w:right="420" w:firstLine="419"/>
        <w:spacing w:after="0" w:line="282" w:lineRule="auto"/>
        <w:rPr>
          <w:sz w:val="20"/>
          <w:szCs w:val="20"/>
          <w:color w:val="auto"/>
        </w:rPr>
      </w:pPr>
      <w:r>
        <w:rPr>
          <w:rFonts w:ascii="Times New Roman" w:cs="Times New Roman" w:eastAsia="Times New Roman" w:hAnsi="Times New Roman"/>
          <w:sz w:val="18"/>
          <w:szCs w:val="18"/>
          <w:color w:val="231F20"/>
        </w:rPr>
        <w:t>The MidCap Credit Term Loan Agreement contained events of default that included, among others, non-payment of principal, interest or fees, breach of covenants, inaccuracy of representations and warranties, cross-defaults and bankruptcy and insolvency events.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1" w:right="399" w:bottom="1440" w:gutter="0" w:footer="0" w:header="0"/>
        </w:sectPr>
      </w:pPr>
    </w:p>
    <w:bookmarkStart w:id="75" w:name="page76"/>
    <w:bookmarkEnd w:id="75"/>
    <w:p>
      <w:pPr>
        <w:ind w:right="160" w:firstLine="419"/>
        <w:spacing w:after="0" w:line="282" w:lineRule="auto"/>
        <w:rPr>
          <w:sz w:val="20"/>
          <w:szCs w:val="20"/>
          <w:color w:val="auto"/>
        </w:rPr>
      </w:pPr>
      <w:r>
        <w:rPr>
          <w:rFonts w:ascii="Times New Roman" w:cs="Times New Roman" w:eastAsia="Times New Roman" w:hAnsi="Times New Roman"/>
          <w:sz w:val="18"/>
          <w:szCs w:val="18"/>
          <w:color w:val="231F20"/>
        </w:rPr>
        <w:t>In January 2024, we terminated the MidCap Term Loan Agreement and paid off in full the secured obligations thereunder in connection with our entry into the Hercules Loan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Hercules Capital Loan Agreement</w:t>
      </w:r>
    </w:p>
    <w:p>
      <w:pPr>
        <w:spacing w:after="0" w:line="121"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231F20"/>
        </w:rPr>
        <w:t xml:space="preserve">In January 2024, we entered into the Hercules Loan Agreement, which provides for a maximum $65.0 million credit facility. </w:t>
      </w:r>
      <w:r>
        <w:rPr>
          <w:rFonts w:ascii="Times New Roman" w:cs="Times New Roman" w:eastAsia="Times New Roman" w:hAnsi="Times New Roman"/>
          <w:sz w:val="18"/>
          <w:szCs w:val="18"/>
          <w:color w:val="000000"/>
        </w:rPr>
        <w:t>An initial tranche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$35.0 million (the “Initial Loan”) was funded under the credit agreement on January 22, 2024 (the “Closing Date”). In addition to the Initial Loan, the Hercules Loan Agreement provides for additional tranches available as follows: $5.0 million available in a single draw through December 15, 2024 (together with the Initial Loan, the “Tranche I Commitment”), $10.0 million available to draw upon the achievement of certain performance milestones through September 15, 2025, and $15.0 million available for us to draw through the interest only period in increments of $5.0 million, subject to the sole approval of Hercules' investment committee (the “Tranche Loans,” and together with the Initial Loan, the “Term Loans”).</w:t>
      </w:r>
    </w:p>
    <w:p>
      <w:pPr>
        <w:spacing w:after="0" w:line="187"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231F20"/>
        </w:rPr>
        <w:t>The Hercules Loan Agreement includes a maturity date of July 1, 2028, with an interest only period running for a period 30 months, extendable up to 36 months upon the achievement of certain milestones. The agreement contains a floating rate of the greater of 10.35% or the Prime Rate plus 2.35%, with the initial interest rate under the agreement of 10.85%. The final payment fee is set at 5.95% of the funded balance. In conjunction with the funding of the Initial Loan, we issued seven year warrants to the Lenders to purchase up to an aggregate of 135,686 shares of our common stock at an exercise price of $5.159 per share.</w:t>
      </w:r>
    </w:p>
    <w:p>
      <w:pPr>
        <w:spacing w:after="0" w:line="183"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231F20"/>
        </w:rPr>
        <w:t>Our obligations under the Hercules Loan Agreement are guaranteed by us and our future subsidiaries, subject to exceptions for certain foreign subsidiaries. Our obligations under the agreement are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 We are also subject to certain minimum cash and minimum revenue covenants under the Hercules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Off-Balance Sheet Arrangements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We do not have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Estimates</w:t>
      </w:r>
    </w:p>
    <w:p>
      <w:pPr>
        <w:spacing w:after="0" w:line="121"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231F20"/>
        </w:rPr>
        <w:t>Our financial statements have been prepared in accordance with U.S. generally accepted accounting principles, or GAAP. The preparation of these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3" w:lineRule="exact"/>
        <w:rPr>
          <w:sz w:val="20"/>
          <w:szCs w:val="20"/>
          <w:color w:val="auto"/>
        </w:rPr>
      </w:pPr>
    </w:p>
    <w:p>
      <w:pPr>
        <w:ind w:right="140" w:firstLine="419"/>
        <w:spacing w:after="0" w:line="266" w:lineRule="auto"/>
        <w:rPr>
          <w:sz w:val="20"/>
          <w:szCs w:val="20"/>
          <w:color w:val="auto"/>
        </w:rPr>
      </w:pPr>
      <w:r>
        <w:rPr>
          <w:rFonts w:ascii="Times New Roman" w:cs="Times New Roman" w:eastAsia="Times New Roman" w:hAnsi="Times New Roman"/>
          <w:sz w:val="18"/>
          <w:szCs w:val="18"/>
          <w:color w:val="231F20"/>
        </w:rPr>
        <w:t>While our significant accounting policies are more fully described in Note 2 to our financial statements included elsewhere in this Annual Report on Form 10-K, we believe the following discussion addresses our most critical accounting estimates, which are those that are most important to our financial condition and results of operations and require our most difficult, subjective and complex judgments.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231F20"/>
        </w:rPr>
        <w:t>We maintain an equity incentive plan that permits the grant of share-based awards, such as stock options and restricted stock units (RSUs), to employees and directors. We recognize equity-based compensation expense for awards of equity instruments based on the grant date fair value of those awards. We estimate the fair value of our stock option awards made to employees and directors based on the estimated fair values as of the grant date using the Black-Scholes option-pricing model, net of estimated forfeitures. The model requires us to make a number of assumptions, including expected volatility, expected term, risk-free interest rate, and expected dividend yield.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93" w:right="459" w:bottom="1440" w:gutter="0" w:footer="0" w:header="0"/>
        </w:sectPr>
      </w:pPr>
    </w:p>
    <w:bookmarkStart w:id="76" w:name="page77"/>
    <w:bookmarkEnd w:id="76"/>
    <w:p>
      <w:pPr>
        <w:ind w:right="140" w:firstLine="419"/>
        <w:spacing w:after="0" w:line="266" w:lineRule="auto"/>
        <w:rPr>
          <w:sz w:val="20"/>
          <w:szCs w:val="20"/>
          <w:color w:val="auto"/>
        </w:rPr>
      </w:pPr>
      <w:r>
        <w:rPr>
          <w:rFonts w:ascii="Times New Roman" w:cs="Times New Roman" w:eastAsia="Times New Roman" w:hAnsi="Times New Roman"/>
          <w:sz w:val="18"/>
          <w:szCs w:val="18"/>
          <w:color w:val="231F20"/>
        </w:rPr>
        <w:t>The fair value of RSU awards is determined based on the number of units granted and the closing price of the Company's common stock as of the grant date. We expense the fair value of our equity-based compensation awards on a straight-line basis over the requisite service period, which is the period in which the related services are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419"/>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appearing under Part II, Item 8 for more information about recent accounting pronouncements, the timing of their adoption, and our assessment.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Our exposure to interest rate risk is principally confined to our cash and cash equivalents and our outstanding credit agreement. As of December 31, 2023, we had cash, cash equivalents and investments of $138.1 million, which consisted of bank deposits, money market funds, and U.S. treasury bills. The primary objectives of our investment activities are the preservation of capital and support of our liquidity requirements. We place our cash, cash equivalents, and investments with high-quality financial institutions and have established investment guidelines relative to diversification and maturities designed to maintain safety and liquidity. We believe that we do not have any material exposure to changes in the fair value of these assets as a result of changes in interest rates due to the short-term nature of our cash, cash equivalents and short-term investments.</w:t>
      </w:r>
    </w:p>
    <w:p>
      <w:pPr>
        <w:spacing w:after="0" w:line="187" w:lineRule="exact"/>
        <w:rPr>
          <w:sz w:val="20"/>
          <w:szCs w:val="20"/>
          <w:color w:val="auto"/>
        </w:rPr>
      </w:pPr>
    </w:p>
    <w:p>
      <w:pPr>
        <w:ind w:right="100" w:firstLine="419"/>
        <w:spacing w:after="0" w:line="261" w:lineRule="auto"/>
        <w:rPr>
          <w:sz w:val="20"/>
          <w:szCs w:val="20"/>
          <w:color w:val="auto"/>
        </w:rPr>
      </w:pPr>
      <w:r>
        <w:rPr>
          <w:rFonts w:ascii="Times New Roman" w:cs="Times New Roman" w:eastAsia="Times New Roman" w:hAnsi="Times New Roman"/>
          <w:sz w:val="18"/>
          <w:szCs w:val="18"/>
          <w:color w:val="auto"/>
        </w:rPr>
        <w:t>In January 2024, we terminated our credit agreement with MidCap Financial Services and entered into an agreement with Hercules Capital. The Hercules Capital Credit Agreement contains a floating rate of the greater of 10.35% or the Prime Rate plus 2.35%, with the initial interest rate under the agreement of 10.85%. The initial balance under the agreement is $35.0 million. Based upon the balance outstanding, a hypothetical 1.0% (100 basis points) change in interest rates would not have a material impact on our financial statements.</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77" w:name="page78"/>
    <w:bookmarkEnd w:id="77"/>
    <w:tbl>
      <w:tblPr>
        <w:tblLayout w:type="fixed"/>
        <w:tblInd w:w="10" w:type="dxa"/>
        <w:tblCellMar>
          <w:top w:w="0" w:type="dxa"/>
          <w:left w:w="0" w:type="dxa"/>
          <w:bottom w:w="0" w:type="dxa"/>
          <w:right w:w="0" w:type="dxa"/>
        </w:tblCellMar>
      </w:tblPr>
      <w:tr>
        <w:trPr>
          <w:trHeight w:val="238"/>
        </w:trPr>
        <w:tc>
          <w:tcPr>
            <w:tcW w:w="83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700" w:type="dxa"/>
            <w:vAlign w:val="bottom"/>
          </w:tcPr>
          <w:p>
            <w:pPr>
              <w:spacing w:after="0"/>
              <w:rPr>
                <w:sz w:val="20"/>
                <w:szCs w:val="20"/>
                <w:color w:val="auto"/>
              </w:rPr>
            </w:pPr>
          </w:p>
        </w:tc>
      </w:tr>
      <w:tr>
        <w:trPr>
          <w:trHeight w:val="540"/>
        </w:trPr>
        <w:tc>
          <w:tcPr>
            <w:tcW w:w="3180" w:type="dxa"/>
            <w:vAlign w:val="bottom"/>
          </w:tcPr>
          <w:p>
            <w:pPr>
              <w:spacing w:after="0"/>
              <w:rPr>
                <w:sz w:val="24"/>
                <w:szCs w:val="24"/>
                <w:color w:val="auto"/>
              </w:rPr>
            </w:pPr>
          </w:p>
        </w:tc>
        <w:tc>
          <w:tcPr>
            <w:tcW w:w="51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700" w:type="dxa"/>
            <w:vAlign w:val="bottom"/>
          </w:tcPr>
          <w:p>
            <w:pPr>
              <w:spacing w:after="0"/>
              <w:rPr>
                <w:sz w:val="24"/>
                <w:szCs w:val="24"/>
                <w:color w:val="auto"/>
              </w:rPr>
            </w:pPr>
          </w:p>
        </w:tc>
      </w:tr>
      <w:tr>
        <w:trPr>
          <w:trHeight w:val="445"/>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34)</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318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150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3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2023 and 2022</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318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and 2022</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318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2022</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3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31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Sight Sciences,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3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Sight Sciences, Inc. and subsidiaries (the "Company") as of December 31, 2023 and 2022, the related consolidated statements of operations and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1089" w:right="47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138,129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00" w:type="dxa"/>
            <w:vAlign w:val="bottom"/>
            <w:shd w:val="clear" w:color="auto" w:fill="CFF0FC"/>
          </w:tcPr>
          <w:p>
            <w:pPr>
              <w:spacing w:after="0"/>
              <w:rPr>
                <w:sz w:val="21"/>
                <w:szCs w:val="21"/>
                <w:color w:val="auto"/>
              </w:rPr>
            </w:pPr>
          </w:p>
        </w:tc>
      </w:tr>
      <w:tr>
        <w:trPr>
          <w:trHeight w:val="21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$1,186 and $1,024 at December 31, 2023</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2022,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100" w:type="dxa"/>
            <w:vAlign w:val="bottom"/>
          </w:tcPr>
          <w:p>
            <w:pPr>
              <w:spacing w:after="0"/>
              <w:rPr>
                <w:sz w:val="20"/>
                <w:szCs w:val="20"/>
                <w:color w:val="auto"/>
              </w:rPr>
            </w:pPr>
          </w:p>
        </w:tc>
      </w:tr>
      <w:tr>
        <w:trPr>
          <w:trHeight w:val="250"/>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162,871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209,677</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r>
      <w:tr>
        <w:trPr>
          <w:trHeight w:val="277"/>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166,651</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 long-term debt, net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17,817</w:t>
            </w:r>
          </w:p>
        </w:tc>
        <w:tc>
          <w:tcPr>
            <w:tcW w:w="100" w:type="dxa"/>
            <w:vAlign w:val="bottom"/>
            <w:tcBorders>
              <w:top w:val="single" w:sz="8" w:color="CFF0FC"/>
            </w:tcBorders>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33,313</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0"/>
                <w:szCs w:val="20"/>
                <w:color w:val="auto"/>
              </w:rPr>
            </w:pPr>
          </w:p>
        </w:tc>
      </w:tr>
      <w:tr>
        <w:trPr>
          <w:trHeight w:val="236"/>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par value $0.001 per share; 10,000,000 shares authorized; no shares issued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par value $0.001 per share; 200,000,000 shares authorized; 49,131,363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48,298,138 shares issued and outstanding as of December 31, 2023 and 2022, respectively</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399,271</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(294,790 )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(239,243 )</w:t>
            </w:r>
          </w:p>
        </w:tc>
      </w:tr>
      <w:tr>
        <w:trPr>
          <w:trHeight w:val="237"/>
        </w:trPr>
        <w:tc>
          <w:tcPr>
            <w:tcW w:w="77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120,215</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160,076</w:t>
            </w:r>
          </w:p>
        </w:tc>
        <w:tc>
          <w:tcPr>
            <w:tcW w:w="100" w:type="dxa"/>
            <w:vAlign w:val="bottom"/>
            <w:tcBorders>
              <w:top w:val="single" w:sz="8" w:color="CFF0FC"/>
            </w:tcBorders>
          </w:tcPr>
          <w:p>
            <w:pPr>
              <w:spacing w:after="0"/>
              <w:rPr>
                <w:sz w:val="20"/>
                <w:szCs w:val="20"/>
                <w:color w:val="auto"/>
              </w:rPr>
            </w:pPr>
          </w:p>
        </w:tc>
      </w:tr>
      <w:tr>
        <w:trPr>
          <w:trHeight w:val="276"/>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166,651</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-3145155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-3128645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-3128645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-2193925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-1559560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-351155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58,970</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108,893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120,065</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126,449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(57,274 )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(83,954 )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(5,408 )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(4,466 )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(55,437 )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(86,195 )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(55,547 )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(86,242 )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(1.80 )</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48,628,940</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47,849,058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-1302385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360" w:type="dxa"/>
            <w:vAlign w:val="bottom"/>
            <w:gridSpan w:val="4"/>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38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360" w:type="dxa"/>
            <w:vAlign w:val="bottom"/>
            <w:tcBorders>
              <w:bottom w:val="single" w:sz="8" w:color="auto"/>
            </w:tcBorders>
            <w:gridSpan w:val="4"/>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2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47,504,704</w:t>
            </w:r>
          </w:p>
        </w:tc>
        <w:tc>
          <w:tcPr>
            <w:tcW w:w="1160" w:type="dxa"/>
            <w:vAlign w:val="bottom"/>
            <w:gridSpan w:val="3"/>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385,060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(153,001 )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 restricted</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8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purchases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(86,242 )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(86,242 )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48,298,138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399,271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(239,243 )</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 restricted</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243,665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8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 taxes on net share settlement of restricted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purchases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220,877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(55,547 )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(55,547 )</w:t>
            </w:r>
          </w:p>
        </w:tc>
        <w:tc>
          <w:tcPr>
            <w:tcW w:w="0" w:type="dxa"/>
            <w:vAlign w:val="bottom"/>
          </w:tcPr>
          <w:p>
            <w:pPr>
              <w:spacing w:after="0"/>
              <w:rPr>
                <w:sz w:val="1"/>
                <w:szCs w:val="1"/>
                <w:color w:val="auto"/>
              </w:rPr>
            </w:pPr>
          </w:p>
        </w:tc>
      </w:tr>
      <w:tr>
        <w:trPr>
          <w:trHeight w:val="20"/>
        </w:trPr>
        <w:tc>
          <w:tcPr>
            <w:tcW w:w="43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49,131,363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(294,790 )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-187960</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(55,547 )</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(86,242 )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of debt discount and amortization of debt issuance costs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excess and obsolete inventories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(6,841 )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(2,156 )</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(3,253 )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(470 )</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(883 )</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(694 )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compensation</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(2,823 )</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(4,605 )</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00" w:type="dxa"/>
            <w:vAlign w:val="bottom"/>
          </w:tcPr>
          <w:p>
            <w:pPr>
              <w:spacing w:after="0"/>
              <w:rPr>
                <w:sz w:val="19"/>
                <w:szCs w:val="19"/>
                <w:color w:val="auto"/>
              </w:rPr>
            </w:pPr>
          </w:p>
        </w:tc>
      </w:tr>
      <w:tr>
        <w:trPr>
          <w:trHeight w:val="23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(47,184 )</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(75,965 )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(791 )</w:t>
            </w: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(970 )</w:t>
            </w:r>
          </w:p>
        </w:tc>
      </w:tr>
      <w:tr>
        <w:trPr>
          <w:trHeight w:val="23"/>
        </w:trPr>
        <w:tc>
          <w:tcPr>
            <w:tcW w:w="77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(791 )</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(970 )</w:t>
            </w:r>
          </w:p>
        </w:tc>
      </w:tr>
      <w:tr>
        <w:trPr>
          <w:trHeight w:val="221"/>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exercise of common stock options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on net settlement of restricted stock units</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(224 )</w:t>
            </w:r>
          </w:p>
        </w:tc>
        <w:tc>
          <w:tcPr>
            <w:tcW w:w="9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employee stock purchase plan purchases</w:t>
            </w: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2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(46,871 )</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(75,687 )</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2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260,687</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138,129</w:t>
            </w:r>
          </w:p>
        </w:tc>
        <w:tc>
          <w:tcPr>
            <w:tcW w:w="2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3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100" w:type="dxa"/>
            <w:vAlign w:val="bottom"/>
            <w:shd w:val="clear" w:color="auto" w:fill="CFF0FC"/>
          </w:tcPr>
          <w:p>
            <w:pPr>
              <w:spacing w:after="0"/>
              <w:rPr>
                <w:sz w:val="20"/>
                <w:szCs w:val="20"/>
                <w:color w:val="auto"/>
              </w:rPr>
            </w:pPr>
          </w:p>
        </w:tc>
      </w:tr>
      <w:tr>
        <w:trPr>
          <w:trHeight w:val="22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information</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 included in accounts payable and accrued liabilities</w:t>
            </w: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-2562225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-1953895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-1362710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-753745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-736600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Nature of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Description of Business</w:t>
      </w:r>
    </w:p>
    <w:p>
      <w:pPr>
        <w:spacing w:after="0" w:line="121" w:lineRule="exact"/>
        <w:rPr>
          <w:sz w:val="20"/>
          <w:szCs w:val="20"/>
          <w:color w:val="auto"/>
        </w:rPr>
      </w:pPr>
    </w:p>
    <w:p>
      <w:pPr>
        <w:ind w:right="40" w:firstLine="419"/>
        <w:spacing w:after="0" w:line="266" w:lineRule="auto"/>
        <w:rPr>
          <w:sz w:val="20"/>
          <w:szCs w:val="20"/>
          <w:color w:val="auto"/>
        </w:rPr>
      </w:pPr>
      <w:r>
        <w:rPr>
          <w:rFonts w:ascii="Times New Roman" w:cs="Times New Roman" w:eastAsia="Times New Roman" w:hAnsi="Times New Roman"/>
          <w:sz w:val="18"/>
          <w:szCs w:val="18"/>
          <w:color w:val="auto"/>
        </w:rPr>
        <w:t>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w:t>
      </w:r>
    </w:p>
    <w:p>
      <w:pPr>
        <w:spacing w:after="0" w:line="176"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The Company's product portfolio aligns with its two reportable operating segments: Surgical Glaucoma and Dry Eye. The products for the Surgical Glaucoma segment include the OMNI® Surgical System ("OMNI"), which is an implant-free glaucoma surgery technology indicated to reduce intraocular pressure in adult patients with primary open-angle glaucoma, the world's leading cause of irreversible blindness, and the SION® Surgical Instrument ("SION"), a manually operated device used in ophthalmic surgical procedures to excise trabecular meshwork. The product portfolio for the Dry Eye segment consists of the TearCare® System ("TearCare") for ophthalmologists and optometrists. TearCare is a wearable eyelid technology for adult patients with evaporative dry eye disease due to meibomian gland dysfunction (MGD) when used in conjunction with manual expression of the meibomian glands, enabling clearance of gland obstructions by physicians to address the leading cause of dry eye disease.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Significant Risks and Uncertainties</w:t>
      </w:r>
    </w:p>
    <w:p>
      <w:pPr>
        <w:spacing w:after="0" w:line="121"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Since inception, the Company has incurred losses and negative cash flows from operations. As of December 31, 2023, the Company had an accumulated deficit of $294.8 million and recorded a net loss of $55.5 million for the year then ended and expects to incur additional losses in the future. If the Company’s revenue levels from its products are not sufficient or if the Company is unable to secure additional funding when desired, the Company may need to delay the development of its products, scale back its business and operations, or change its business strategy.</w:t>
      </w:r>
    </w:p>
    <w:p>
      <w:pPr>
        <w:spacing w:after="0" w:line="180"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The Company believes that its existing sources of liquidity will satisfy its working capital and capital requirements for at least 12 months from the issuance of its financial statements. Any failure to generate increased revenue, achieve improved gross margins, or control operating costs could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Basis of Presentation</w:t>
      </w:r>
    </w:p>
    <w:p>
      <w:pPr>
        <w:spacing w:after="0" w:line="121"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231F20"/>
        </w:rPr>
        <w:t>The consolidated financial statements have been prepared in accordance with accounting principles generally accepted in the United States of America ("US GAAP"). The Company’s consolidated financial statements include the accounts of the Company and its wholly owned subsidiaries, Sight Sciences UK, Ltd and Sight Sciences GmbH. All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Estimates</w:t>
      </w:r>
    </w:p>
    <w:p>
      <w:pPr>
        <w:spacing w:after="0" w:line="121"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US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related to the provision for credit losses, inventory excess and obsolescence, the selection of useful lives of property and equipment, determination of the fair value of stock option grants,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089"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231F20"/>
        </w:rPr>
        <w:t>Fair Value of Financial Instruments</w:t>
      </w:r>
    </w:p>
    <w:p>
      <w:pPr>
        <w:spacing w:after="0" w:line="121" w:lineRule="exact"/>
        <w:rPr>
          <w:sz w:val="20"/>
          <w:szCs w:val="20"/>
          <w:color w:val="auto"/>
        </w:rPr>
      </w:pPr>
    </w:p>
    <w:p>
      <w:pPr>
        <w:ind w:right="240" w:firstLine="419"/>
        <w:spacing w:after="0" w:line="258" w:lineRule="auto"/>
        <w:rPr>
          <w:sz w:val="20"/>
          <w:szCs w:val="20"/>
          <w:color w:val="auto"/>
        </w:rPr>
      </w:pPr>
      <w:r>
        <w:rPr>
          <w:rFonts w:ascii="Times New Roman" w:cs="Times New Roman" w:eastAsia="Times New Roman" w:hAnsi="Times New Roman"/>
          <w:sz w:val="18"/>
          <w:szCs w:val="18"/>
          <w:color w:val="231F20"/>
        </w:rPr>
        <w:t>The Company’s financial instruments consist of cash and cash equivalents, accounts receivable, accounts payable, accrued liabilities, and short-term and long-term debt. The Company's cash equivalents include U.S. treasury securities that are classified as held-to-maturity and recorded at amortized cost in the financial statements. The Company states accounts receivable, accounts payable, and accrued and other current liabilities at their carrying value, which approximates fair value due to the short time to the expected receipt or payment. The carrying amount of the Company’s short-term debt approximates its fair value as the effective interest rate approximates market rates currently available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Concentration of Credit Risk</w:t>
      </w:r>
    </w:p>
    <w:p>
      <w:pPr>
        <w:spacing w:after="0" w:line="121"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231F20"/>
        </w:rPr>
        <w:t>Financial instruments that subject the Company to concentration of credit risk consist of cash and cash equivalents and accounts receivable. The Company’s cash and cash equivalents are deposited with a high-quality financial institution. Deposits at this institution may, at times, exceed federally insured limits. Management believes that this financial institution is financially sound and, accordingly, that minimal credit risk exists. The Company has not experienced any losses on its deposits of cash and cash equivalents.</w:t>
      </w:r>
    </w:p>
    <w:p>
      <w:pPr>
        <w:spacing w:after="0" w:line="180" w:lineRule="exact"/>
        <w:rPr>
          <w:sz w:val="20"/>
          <w:szCs w:val="20"/>
          <w:color w:val="auto"/>
        </w:rPr>
      </w:pPr>
    </w:p>
    <w:p>
      <w:pPr>
        <w:ind w:right="260" w:firstLine="419"/>
        <w:spacing w:after="0" w:line="261" w:lineRule="auto"/>
        <w:rPr>
          <w:sz w:val="20"/>
          <w:szCs w:val="20"/>
          <w:color w:val="auto"/>
        </w:rPr>
      </w:pPr>
      <w:r>
        <w:rPr>
          <w:rFonts w:ascii="Times New Roman" w:cs="Times New Roman" w:eastAsia="Times New Roman" w:hAnsi="Times New Roman"/>
          <w:sz w:val="18"/>
          <w:szCs w:val="18"/>
          <w:color w:val="231F20"/>
        </w:rPr>
        <w:t>The Company relies on third-party contract manufacturers for the manufacture of all of its commercial products currently available for sale, and also depends on a limited number of single source suppliers for some of the components, accessories, and materials used in the manufacture and assembly of its OMNI, TearCare and SION products, and any shortfall in the supply chain may cause its business to materially suffer. Disruption in production or its supply chain would have a negative impact on the Company’s financial position, results of operations and cash flows.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For the years ended December 31, 2023 and 2022, there were no customers that represented 10% or more of the Company's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and Cash Equivalents</w:t>
      </w:r>
    </w:p>
    <w:p>
      <w:pPr>
        <w:spacing w:after="0" w:line="121" w:lineRule="exact"/>
        <w:rPr>
          <w:sz w:val="20"/>
          <w:szCs w:val="20"/>
          <w:color w:val="auto"/>
        </w:rPr>
      </w:pPr>
    </w:p>
    <w:p>
      <w:pPr>
        <w:ind w:firstLine="419"/>
        <w:spacing w:after="0" w:line="277" w:lineRule="auto"/>
        <w:rPr>
          <w:sz w:val="20"/>
          <w:szCs w:val="20"/>
          <w:color w:val="auto"/>
        </w:rPr>
      </w:pPr>
      <w:r>
        <w:rPr>
          <w:rFonts w:ascii="Times New Roman" w:cs="Times New Roman" w:eastAsia="Times New Roman" w:hAnsi="Times New Roman"/>
          <w:sz w:val="17"/>
          <w:szCs w:val="17"/>
          <w:color w:val="231F20"/>
        </w:rPr>
        <w:t>The Company considers all highly liquid investments with an original maturity of 90 days or less, when purchased, to be cash and cash equivalents. As of December 31, 2023 and 2022, cash and cash equivalents includes $129.1 million and $144.3 million of U.S. treasury securities that are classified as held-to-maturity and recorded at amortized cost in the financial statements, respectively. As of December 31, 2023 and 2022, the remainder of cash and cash equivalents consists primarily of checking and savings deposits, which are recorded at cost, which approximate fair value. The Company’s cash balances exceed those that are federally insured. To date, the Company has not recognized any losses caused by uninsured balances.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Accounts Receivable and Provision for Credit Losses</w:t>
      </w:r>
    </w:p>
    <w:p>
      <w:pPr>
        <w:spacing w:after="0" w:line="121"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231F20"/>
        </w:rPr>
        <w:t>Accounts receivable are stated at invoiced amounts, net of estimated provisions for credit losses. The Company’s provision for credit losses methodology for receivables is developed using its historical collection experience, current and future economic market conditions, and a review of the current aging status and financial condition of its customers. The Company uses its judgment, based on the best available facts and circumstances, and records a provision against amounts due to reduce the receivable to the amount that is expected to be collected. These specific provisions are reevaluated and adjusted as additional information is received that impacts the amount reserved. To date, the Company has not experienced material credit-related losses. The provision for credit losses was $1.2 million and $1.0 million as of December 31, 2023 and 2022,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Inventory, net</w:t>
      </w:r>
    </w:p>
    <w:p>
      <w:pPr>
        <w:spacing w:after="0" w:line="121"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231F20"/>
        </w:rPr>
        <w:t>Inventory represents raw materials and finished goods purchased from third-party suppliers and manufacturers. Inventory is valued at the lower of cost or net realizable value. Cost is determined using actual costs on a first-in, first-out basis for all inventory. Net realizable value is determined as the estimated selling prices in the ordinary course of business, less reasonably predictable costs of completion, disposal, and transportation. As of December 31, 2023, the Company’s inventory balance consisted of finished goods of $7.3 million and raw materials of $1.0 million. As of December 31, 2022, the Company’s inventory consisted of finished goods of $5.8 million and raw materials of $0.4 million.</w:t>
      </w:r>
    </w:p>
    <w:p>
      <w:pPr>
        <w:spacing w:after="0" w:line="183"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231F20"/>
        </w:rPr>
        <w:t>The Company regularly reviews inventory quantities in consideration of actual loss experiences, projected future demand, and remaining shelf life to record a provision for excess and obsolete inventory when appropriate. The Company’s policy is to write down inventory that has become obsolete, inventory that has a cost basis in excess of its expected lower</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89" w:right="419" w:bottom="1440" w:gutter="0" w:footer="0" w:header="0"/>
        </w:sectPr>
      </w:pPr>
    </w:p>
    <w:bookmarkStart w:id="85" w:name="page86"/>
    <w:bookmarkEnd w:id="85"/>
    <w:p>
      <w:pPr>
        <w:spacing w:after="0" w:line="266" w:lineRule="auto"/>
        <w:rPr>
          <w:sz w:val="20"/>
          <w:szCs w:val="20"/>
          <w:color w:val="auto"/>
        </w:rPr>
      </w:pPr>
      <w:r>
        <w:rPr>
          <w:rFonts w:ascii="Times New Roman" w:cs="Times New Roman" w:eastAsia="Times New Roman" w:hAnsi="Times New Roman"/>
          <w:sz w:val="18"/>
          <w:szCs w:val="18"/>
          <w:color w:val="231F20"/>
        </w:rPr>
        <w:t>of cost or net realizable value, and inventory in excess of expected requirements. The estimate of excess quantities is judgmental and primarily dependent on the Company’s estimates of future demand for the particular product. As of December 31, 2023 and 2022, the Company has reserves for excess and obsolete inventory of $0.5 million and $0.1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Property and Equipment, net</w:t>
      </w:r>
    </w:p>
    <w:p>
      <w:pPr>
        <w:spacing w:after="0" w:line="121" w:lineRule="exact"/>
        <w:rPr>
          <w:sz w:val="20"/>
          <w:szCs w:val="20"/>
          <w:color w:val="auto"/>
        </w:rPr>
      </w:pPr>
    </w:p>
    <w:p>
      <w:pPr>
        <w:ind w:right="80" w:firstLine="419"/>
        <w:spacing w:after="0" w:line="261" w:lineRule="auto"/>
        <w:rPr>
          <w:sz w:val="20"/>
          <w:szCs w:val="20"/>
          <w:color w:val="auto"/>
        </w:rPr>
      </w:pPr>
      <w:r>
        <w:rPr>
          <w:rFonts w:ascii="Times New Roman" w:cs="Times New Roman" w:eastAsia="Times New Roman" w:hAnsi="Times New Roman"/>
          <w:sz w:val="18"/>
          <w:szCs w:val="18"/>
          <w:color w:val="231F20"/>
        </w:rPr>
        <w:t>Property and equipment are recorded at cost, less accumulated depreciation. Repairs and maintenance costs are expensed as incurred. Depreciation is calculated using the straight-line method over the estimated useful lives of the assets, typically two to five years. When assets are retired or otherwise disposed of, the cost and accumulated depreciation are removed from the consolidated balance sheets and any resulting gain or loss is reflected in the consolidated statements of operations and consolidated loss in the period realized.</w:t>
      </w:r>
    </w:p>
    <w:p>
      <w:pPr>
        <w:spacing w:after="0" w:line="180" w:lineRule="exact"/>
        <w:rPr>
          <w:sz w:val="20"/>
          <w:szCs w:val="20"/>
          <w:color w:val="auto"/>
        </w:rPr>
      </w:pPr>
    </w:p>
    <w:p>
      <w:pPr>
        <w:ind w:right="100" w:firstLine="419"/>
        <w:spacing w:after="0" w:line="266" w:lineRule="auto"/>
        <w:rPr>
          <w:sz w:val="20"/>
          <w:szCs w:val="20"/>
          <w:color w:val="auto"/>
        </w:rPr>
      </w:pPr>
      <w:r>
        <w:rPr>
          <w:rFonts w:ascii="Times New Roman" w:cs="Times New Roman" w:eastAsia="Times New Roman" w:hAnsi="Times New Roman"/>
          <w:sz w:val="18"/>
          <w:szCs w:val="18"/>
          <w:color w:val="231F20"/>
        </w:rPr>
        <w:t>Construction-in-process assets consist primarily of tools and equipment that have not yet been placed in service. These assets are stated at cost and are not depreciated. Once the assets are placed into service, assets are reclassified to the appropriate asset class based on their nature and depreciated in accordance with the useful lives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Impairment of Long-Lived Assets</w:t>
      </w:r>
    </w:p>
    <w:p>
      <w:pPr>
        <w:spacing w:after="0" w:line="121" w:lineRule="exact"/>
        <w:rPr>
          <w:sz w:val="20"/>
          <w:szCs w:val="20"/>
          <w:color w:val="auto"/>
        </w:rPr>
      </w:pPr>
    </w:p>
    <w:p>
      <w:pPr>
        <w:ind w:right="140" w:firstLine="419"/>
        <w:spacing w:after="0" w:line="256" w:lineRule="auto"/>
        <w:rPr>
          <w:sz w:val="20"/>
          <w:szCs w:val="20"/>
          <w:color w:val="auto"/>
        </w:rPr>
      </w:pPr>
      <w:r>
        <w:rPr>
          <w:rFonts w:ascii="Times New Roman" w:cs="Times New Roman" w:eastAsia="Times New Roman" w:hAnsi="Times New Roman"/>
          <w:sz w:val="18"/>
          <w:szCs w:val="18"/>
          <w:color w:val="231F20"/>
        </w:rPr>
        <w:t>The Company assesses long-lived assets, including property and equipment, whenever events or changes in business circumstances indicate that the carrying amount of the assets may not be fully recoverable. If indicators of impairment exist, an impairment loss may be recognized when estimated undiscounted future cash flows expected to result from the use of the assets and their eventual disposition are less than their carrying amount. Impairment, if any, is measured as the amount by which the carrying amount of the long-lived assets exceeds their fair value. Fair value is determined through various valuation techniques, including discounted cash flow models, quoted market values, and third-party independent appraisals, as considered necessary. The Company did not record any impairment of long-lived assets for the years ended December 31,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right="320" w:firstLine="419"/>
        <w:spacing w:after="0" w:line="261" w:lineRule="auto"/>
        <w:rPr>
          <w:sz w:val="20"/>
          <w:szCs w:val="20"/>
          <w:color w:val="auto"/>
        </w:rPr>
      </w:pPr>
      <w:r>
        <w:rPr>
          <w:rFonts w:ascii="Times New Roman" w:cs="Times New Roman" w:eastAsia="Times New Roman" w:hAnsi="Times New Roman"/>
          <w:sz w:val="18"/>
          <w:szCs w:val="18"/>
          <w:color w:val="231F20"/>
        </w:rPr>
        <w:t>Contractual arrangements that meet the definition of a lease are classified as operating or finance leases and are recorded on the consolidated balance sheets as both a right-of-use asset (“ROU asset”) and lease liability, calculated by discounting fixed lease payments over the lease term at the Company’s incremental borrowing rate (“IBR”). Lease ROU assets and lease obligations are recognized based on the present value of the future minimum lease payments over the lease term at commencement date. The Company currently does not have any finance leases.</w:t>
      </w:r>
    </w:p>
    <w:p>
      <w:pPr>
        <w:spacing w:after="0" w:line="180"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231F20"/>
        </w:rPr>
        <w:t>As the implicit rates for the Company's operating leases are not determinable, the Company uses an IBR based on the information available at the respective lease commencement dates to determine the present value of future payments. IBR represents the interest rate that the Company would expect to incur at lease commencement to borrow an amount equal to the lease payments on a collateralized basis with similar terms and payments, in an economic environment where the leased asset is located.</w:t>
      </w:r>
    </w:p>
    <w:p>
      <w:pPr>
        <w:spacing w:after="0" w:line="180" w:lineRule="exact"/>
        <w:rPr>
          <w:sz w:val="20"/>
          <w:szCs w:val="20"/>
          <w:color w:val="auto"/>
        </w:rPr>
      </w:pPr>
    </w:p>
    <w:p>
      <w:pPr>
        <w:ind w:right="40" w:firstLine="419"/>
        <w:spacing w:after="0" w:line="282" w:lineRule="auto"/>
        <w:rPr>
          <w:sz w:val="20"/>
          <w:szCs w:val="20"/>
          <w:color w:val="auto"/>
        </w:rPr>
      </w:pPr>
      <w:r>
        <w:rPr>
          <w:rFonts w:ascii="Times New Roman" w:cs="Times New Roman" w:eastAsia="Times New Roman" w:hAnsi="Times New Roman"/>
          <w:sz w:val="18"/>
          <w:szCs w:val="18"/>
          <w:color w:val="231F20"/>
        </w:rPr>
        <w:t>The Company does not recognize lease ROU assets or lease liabilities for short-term leases, if any, having initial terms of 12 months or less at lease commencement as an accounting policy election, and recognizes rent expense on a straight-line basis over the lease term for these types of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 Recognition</w:t>
      </w:r>
    </w:p>
    <w:p>
      <w:pPr>
        <w:spacing w:after="0" w:line="121" w:lineRule="exact"/>
        <w:rPr>
          <w:sz w:val="20"/>
          <w:szCs w:val="20"/>
          <w:color w:val="auto"/>
        </w:rPr>
      </w:pPr>
    </w:p>
    <w:p>
      <w:pPr>
        <w:ind w:right="100" w:firstLine="419"/>
        <w:spacing w:after="0" w:line="282" w:lineRule="auto"/>
        <w:rPr>
          <w:sz w:val="20"/>
          <w:szCs w:val="20"/>
          <w:color w:val="auto"/>
        </w:rPr>
      </w:pPr>
      <w:r>
        <w:rPr>
          <w:rFonts w:ascii="Times New Roman" w:cs="Times New Roman" w:eastAsia="Times New Roman" w:hAnsi="Times New Roman"/>
          <w:sz w:val="18"/>
          <w:szCs w:val="18"/>
          <w:color w:val="231F20"/>
        </w:rPr>
        <w:t>The Company applies the following five steps in order to determine the appropriate amount of revenue to be recognized as it fulfills its obligations under each of its arrangements:</w:t>
      </w:r>
    </w:p>
    <w:p>
      <w:pPr>
        <w:spacing w:after="0" w:line="54" w:lineRule="exact"/>
        <w:rPr>
          <w:sz w:val="20"/>
          <w:szCs w:val="20"/>
          <w:color w:val="auto"/>
        </w:rPr>
      </w:pPr>
    </w:p>
    <w:p>
      <w:pPr>
        <w:ind w:left="800" w:hanging="283"/>
        <w:spacing w:after="0"/>
        <w:tabs>
          <w:tab w:leader="none" w:pos="8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 the contract with a customer,</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 the performance obligations in the contract,</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Determine the transaction price,</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Allocate the transaction price to performance obligations in the contract, and</w:t>
      </w:r>
    </w:p>
    <w:p>
      <w:pPr>
        <w:spacing w:after="0" w:line="117" w:lineRule="exact"/>
        <w:rPr>
          <w:rFonts w:ascii="Times New Roman" w:cs="Times New Roman" w:eastAsia="Times New Roman" w:hAnsi="Times New Roman"/>
          <w:sz w:val="18"/>
          <w:szCs w:val="18"/>
          <w:color w:val="231F20"/>
        </w:rPr>
      </w:pPr>
    </w:p>
    <w:p>
      <w:pPr>
        <w:ind w:left="800" w:hanging="283"/>
        <w:spacing w:after="0"/>
        <w:tabs>
          <w:tab w:leader="none" w:pos="80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Recognize revenue as the performance obligations are satisfied.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86" w:name="page87"/>
    <w:bookmarkEnd w:id="86"/>
    <w:p>
      <w:pPr>
        <w:ind w:right="60" w:firstLine="419"/>
        <w:spacing w:after="0" w:line="266" w:lineRule="auto"/>
        <w:rPr>
          <w:sz w:val="20"/>
          <w:szCs w:val="20"/>
          <w:color w:val="auto"/>
        </w:rPr>
      </w:pPr>
      <w:r>
        <w:rPr>
          <w:rFonts w:ascii="Times New Roman" w:cs="Times New Roman" w:eastAsia="Times New Roman" w:hAnsi="Times New Roman"/>
          <w:sz w:val="18"/>
          <w:szCs w:val="18"/>
          <w:color w:val="231F20"/>
        </w:rPr>
        <w:t>Revenue recognized during the years ended December 31, 2023 and 2022 relates entirely to the sale of the Company’s products within the Surgical Glaucoma and Dry Eye segments. These sales are primarily to hospitals, medical centers, and eyecare professionals ("ECPs") throughout the United States. Sales are generally made through sales representatives and distributors.</w:t>
      </w:r>
    </w:p>
    <w:p>
      <w:pPr>
        <w:spacing w:after="0" w:line="176"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231F20"/>
        </w:rPr>
        <w:t>The Company’s revenue arrangements consist of a single performance obligation. Revenue is recognized at the point in time when control of the promised goods transfer to the Company’s customers. Revenue is measured at the amount of consideration expected to be received in exchange for the transfer of goods. The amount of revenue that is recognized is based on the transaction price, which represented the invoiced amounts and includes estimates of variable consideration, such as discounts, where applicable. The Company does not offer right of return, except in the case where items are defective as manufactured, and the company does not typically provide customers with a right to a refund. The amount of variable consideration included in the transaction price may be constrained and is included only to the extent that it is probable that a significant reversal in the amount of the cumulative revenue recognized under the contract will not occur in a future period. Payment terms, typically 30 days, are offered to customers and do not include a significant financing component. The Company extends credit to customers based upon their financial condition and credit history and generally require no collateral. The Company does not have any contract balances related to product sales.</w:t>
      </w:r>
    </w:p>
    <w:p>
      <w:pPr>
        <w:spacing w:after="0" w:line="188"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231F20"/>
        </w:rPr>
        <w:t>Shipping and handling costs incurred for the delivery of goods to customers are included in cost of goods sold. In cases where the Company bills shipping and handling cost to customers, the Company classifies those amounts in net revenue. As a practical expedient, the Company recognizes the incremental costs of obtaining contracts, such as sales commissions, as an expense when incurred since the amortization period of the asset we otherwise would have recognized is one year or less. Sales commissions are recorded within selling, general, and administrative expenses in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Cost of Goods Sold</w:t>
      </w:r>
    </w:p>
    <w:p>
      <w:pPr>
        <w:spacing w:after="0" w:line="121" w:lineRule="exact"/>
        <w:rPr>
          <w:sz w:val="20"/>
          <w:szCs w:val="20"/>
          <w:color w:val="auto"/>
        </w:rPr>
      </w:pPr>
    </w:p>
    <w:p>
      <w:pPr>
        <w:ind w:right="120" w:firstLine="419"/>
        <w:spacing w:after="0" w:line="266" w:lineRule="auto"/>
        <w:rPr>
          <w:sz w:val="20"/>
          <w:szCs w:val="20"/>
          <w:color w:val="auto"/>
        </w:rPr>
      </w:pPr>
      <w:r>
        <w:rPr>
          <w:rFonts w:ascii="Times New Roman" w:cs="Times New Roman" w:eastAsia="Times New Roman" w:hAnsi="Times New Roman"/>
          <w:sz w:val="18"/>
          <w:szCs w:val="18"/>
          <w:color w:val="231F20"/>
        </w:rPr>
        <w:t>The Company purchases its components and products from third-party suppliers and manufacturers. Cost of goods sold consists primarily of costs related to materials, manufacturing overhead costs, reserves for excess, and obsolete and non-sellable inventories. Cost of goods sold also includes depreciation expense for production equipment and certain direct costs, such as shipping and handling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121" w:lineRule="exact"/>
        <w:rPr>
          <w:sz w:val="20"/>
          <w:szCs w:val="20"/>
          <w:color w:val="auto"/>
        </w:rPr>
      </w:pPr>
    </w:p>
    <w:p>
      <w:pPr>
        <w:ind w:right="480" w:firstLine="419"/>
        <w:spacing w:after="0" w:line="281" w:lineRule="auto"/>
        <w:rPr>
          <w:sz w:val="20"/>
          <w:szCs w:val="20"/>
          <w:color w:val="auto"/>
        </w:rPr>
      </w:pPr>
      <w:r>
        <w:rPr>
          <w:rFonts w:ascii="Times New Roman" w:cs="Times New Roman" w:eastAsia="Times New Roman" w:hAnsi="Times New Roman"/>
          <w:sz w:val="17"/>
          <w:szCs w:val="17"/>
          <w:color w:val="231F20"/>
        </w:rPr>
        <w:t>The Company expenses research and development costs as incurred. Research and development expenses consist primarily of product development, clinical studies to develop and support the Company’s products, regulatory expenses, medical affairs, and other costs associated with products and technologies that are in development. Research and development expenses include employee compensation, including stock-based compensation, supplies, consulting, prototyping, testing, materials, travel expenses, depreciation, and an allocation of facility overhead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p>
      <w:pPr>
        <w:spacing w:after="0" w:line="121" w:lineRule="exact"/>
        <w:rPr>
          <w:sz w:val="20"/>
          <w:szCs w:val="20"/>
          <w:color w:val="auto"/>
        </w:rPr>
      </w:pPr>
    </w:p>
    <w:p>
      <w:pPr>
        <w:ind w:right="140" w:firstLine="419"/>
        <w:spacing w:after="0" w:line="266" w:lineRule="auto"/>
        <w:rPr>
          <w:sz w:val="20"/>
          <w:szCs w:val="20"/>
          <w:color w:val="auto"/>
        </w:rPr>
      </w:pPr>
      <w:r>
        <w:rPr>
          <w:rFonts w:ascii="Times New Roman" w:cs="Times New Roman" w:eastAsia="Times New Roman" w:hAnsi="Times New Roman"/>
          <w:sz w:val="18"/>
          <w:szCs w:val="18"/>
          <w:color w:val="231F20"/>
        </w:rPr>
        <w:t>Selling, general and administrative expenses include compensation, employee benefits, and stock-based compensation for executive management, commercial, finance administration, and human resources; facility costs (including rent); bad debt costs; professional service fees; and other general overhead costs, including depreciation to support the Company’s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Advertising Expense</w:t>
      </w:r>
    </w:p>
    <w:p>
      <w:pPr>
        <w:spacing w:after="0" w:line="121" w:lineRule="exact"/>
        <w:rPr>
          <w:sz w:val="20"/>
          <w:szCs w:val="20"/>
          <w:color w:val="auto"/>
        </w:rPr>
      </w:pPr>
    </w:p>
    <w:p>
      <w:pPr>
        <w:ind w:right="380" w:firstLine="419"/>
        <w:spacing w:after="0" w:line="282" w:lineRule="auto"/>
        <w:rPr>
          <w:sz w:val="20"/>
          <w:szCs w:val="20"/>
          <w:color w:val="auto"/>
        </w:rPr>
      </w:pPr>
      <w:r>
        <w:rPr>
          <w:rFonts w:ascii="Times New Roman" w:cs="Times New Roman" w:eastAsia="Times New Roman" w:hAnsi="Times New Roman"/>
          <w:sz w:val="18"/>
          <w:szCs w:val="18"/>
          <w:color w:val="231F20"/>
        </w:rPr>
        <w:t>The Company expenses advertising costs as incurred. Advertising expenses for fiscal years 2023 and 2022 were $2.1 million and $2.6 million, respectively, included in selling, general, and administrative expenses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ind w:firstLine="419"/>
        <w:spacing w:after="0" w:line="281" w:lineRule="auto"/>
        <w:rPr>
          <w:sz w:val="20"/>
          <w:szCs w:val="20"/>
          <w:color w:val="auto"/>
        </w:rPr>
      </w:pPr>
      <w:r>
        <w:rPr>
          <w:rFonts w:ascii="Times New Roman" w:cs="Times New Roman" w:eastAsia="Times New Roman" w:hAnsi="Times New Roman"/>
          <w:sz w:val="17"/>
          <w:szCs w:val="17"/>
          <w:color w:val="231F20"/>
        </w:rPr>
        <w:t>The Company's equity incentive plan permits the grant of stock-based awards, such as stock options and restricted stock units ("RSUs"), to employees, directors and consultants. The Company’s employee stock purchase plan (“ESPP”) allows employees to purchase stock from the Company at a discount. The Company measures and records the expense related to stock-based payment awards based on the fair value of those awards as determined on the date of grant. The Company recognizes stock-based compensation expense over the requisite service period of the individual grant, generally</w:t>
      </w: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093" w:right="399" w:bottom="1440" w:gutter="0" w:footer="0" w:header="0"/>
        </w:sectPr>
      </w:pPr>
    </w:p>
    <w:bookmarkStart w:id="87" w:name="page88"/>
    <w:bookmarkEnd w:id="87"/>
    <w:p>
      <w:pPr>
        <w:ind w:right="80"/>
        <w:spacing w:after="0" w:line="258" w:lineRule="auto"/>
        <w:rPr>
          <w:sz w:val="20"/>
          <w:szCs w:val="20"/>
          <w:color w:val="auto"/>
        </w:rPr>
      </w:pPr>
      <w:r>
        <w:rPr>
          <w:rFonts w:ascii="Times New Roman" w:cs="Times New Roman" w:eastAsia="Times New Roman" w:hAnsi="Times New Roman"/>
          <w:sz w:val="18"/>
          <w:szCs w:val="18"/>
          <w:color w:val="231F20"/>
        </w:rPr>
        <w:t>equal to the vesting period and uses the straight- line method to recognize stock-based compensation, and accounts for forfeitures as they occur. The Company selected the Black-Scholes-Merton (“Black-Scholes”) option-pricing model as the method for determining the estimated fair value for stock options and the ESPP. The Black-Scholes option-pricing model requires the use of highly subjective and complex assumptions, which determine the fair value of share-based awards, including the option’s expected term, expected volatility of the underlying stock, risk-free interest rate and expected dividend yield.</w:t>
      </w:r>
    </w:p>
    <w:p>
      <w:pPr>
        <w:spacing w:after="0" w:line="183" w:lineRule="exact"/>
        <w:rPr>
          <w:sz w:val="20"/>
          <w:szCs w:val="20"/>
          <w:color w:val="auto"/>
        </w:rPr>
      </w:pPr>
    </w:p>
    <w:p>
      <w:pPr>
        <w:ind w:right="140" w:firstLine="419"/>
        <w:spacing w:after="0" w:line="282" w:lineRule="auto"/>
        <w:rPr>
          <w:sz w:val="20"/>
          <w:szCs w:val="20"/>
          <w:color w:val="auto"/>
        </w:rPr>
      </w:pPr>
      <w:r>
        <w:rPr>
          <w:rFonts w:ascii="Times New Roman" w:cs="Times New Roman" w:eastAsia="Times New Roman" w:hAnsi="Times New Roman"/>
          <w:sz w:val="18"/>
          <w:szCs w:val="18"/>
          <w:color w:val="231F20"/>
        </w:rPr>
        <w:t>The fair value of RSU awards is determined based on the number of units granted and the closing price of the Company's common stock as of the grant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Currency Remeasurement</w:t>
      </w:r>
    </w:p>
    <w:p>
      <w:pPr>
        <w:spacing w:after="0" w:line="121" w:lineRule="exact"/>
        <w:rPr>
          <w:sz w:val="20"/>
          <w:szCs w:val="20"/>
          <w:color w:val="auto"/>
        </w:rPr>
      </w:pPr>
    </w:p>
    <w:p>
      <w:pPr>
        <w:ind w:right="120" w:firstLine="419"/>
        <w:spacing w:after="0" w:line="282" w:lineRule="auto"/>
        <w:rPr>
          <w:sz w:val="20"/>
          <w:szCs w:val="20"/>
          <w:color w:val="auto"/>
        </w:rPr>
      </w:pPr>
      <w:r>
        <w:rPr>
          <w:rFonts w:ascii="Times New Roman" w:cs="Times New Roman" w:eastAsia="Times New Roman" w:hAnsi="Times New Roman"/>
          <w:sz w:val="18"/>
          <w:szCs w:val="18"/>
          <w:color w:val="231F20"/>
        </w:rPr>
        <w:t>Foreign currency transaction gains and losses are recorded in other income (expense), net in the Company’s consolidated statements of operations and comprehensive loss. Such amounts have not been material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121"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Management makes an assessment of the likelihood that the resulting deferred tax assets will be realized. A valuation allowance is provided when it is more likely than not that some portion or all off a deferred tax asset will not be realized. Due to the Company's historical operating performance and the recorded cumulative net losses in prior fiscal periods, the net deferred tax assets have been fully offset by a valuation allowance.</w:t>
      </w:r>
    </w:p>
    <w:p>
      <w:pPr>
        <w:spacing w:after="0" w:line="187" w:lineRule="exact"/>
        <w:rPr>
          <w:sz w:val="20"/>
          <w:szCs w:val="20"/>
          <w:color w:val="auto"/>
        </w:rPr>
      </w:pPr>
    </w:p>
    <w:p>
      <w:pPr>
        <w:ind w:right="140" w:firstLine="419"/>
        <w:spacing w:after="0" w:line="261" w:lineRule="auto"/>
        <w:rPr>
          <w:sz w:val="20"/>
          <w:szCs w:val="20"/>
          <w:color w:val="auto"/>
        </w:rPr>
      </w:pPr>
      <w:r>
        <w:rPr>
          <w:rFonts w:ascii="Times New Roman" w:cs="Times New Roman" w:eastAsia="Times New Roman" w:hAnsi="Times New Roman"/>
          <w:sz w:val="18"/>
          <w:szCs w:val="18"/>
          <w:color w:val="231F20"/>
        </w:rPr>
        <w:t>The Company recognizes uncertain income tax positions at the largest amount that is more likely than not to be sustained upon audit by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 as a component of provision for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Comprehensive Loss</w:t>
      </w:r>
    </w:p>
    <w:p>
      <w:pPr>
        <w:spacing w:after="0" w:line="121" w:lineRule="exact"/>
        <w:rPr>
          <w:sz w:val="20"/>
          <w:szCs w:val="20"/>
          <w:color w:val="auto"/>
        </w:rPr>
      </w:pPr>
    </w:p>
    <w:p>
      <w:pPr>
        <w:ind w:right="60" w:firstLine="419"/>
        <w:spacing w:after="0" w:line="266" w:lineRule="auto"/>
        <w:rPr>
          <w:sz w:val="20"/>
          <w:szCs w:val="20"/>
          <w:color w:val="auto"/>
        </w:rPr>
      </w:pPr>
      <w:r>
        <w:rPr>
          <w:rFonts w:ascii="Times New Roman" w:cs="Times New Roman" w:eastAsia="Times New Roman" w:hAnsi="Times New Roman"/>
          <w:sz w:val="18"/>
          <w:szCs w:val="18"/>
          <w:color w:val="231F20"/>
        </w:rPr>
        <w:t>Comprehensive loss represents all changes in stockholders’ equity except those resulting from distributions to stockholders. There have been no items qualifying as other comprehensive income (loss) and, therefore, for all periods presented, there was no difference between comprehensive loss and the Company’s reported net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Net Loss Per Share Attributable to Common Stockholders</w:t>
      </w:r>
    </w:p>
    <w:p>
      <w:pPr>
        <w:spacing w:after="0" w:line="121" w:lineRule="exact"/>
        <w:rPr>
          <w:sz w:val="20"/>
          <w:szCs w:val="20"/>
          <w:color w:val="auto"/>
        </w:rPr>
      </w:pPr>
    </w:p>
    <w:p>
      <w:pPr>
        <w:ind w:right="240" w:firstLine="419"/>
        <w:spacing w:after="0" w:line="258" w:lineRule="auto"/>
        <w:rPr>
          <w:sz w:val="20"/>
          <w:szCs w:val="20"/>
          <w:color w:val="auto"/>
        </w:rPr>
      </w:pPr>
      <w:r>
        <w:rPr>
          <w:rFonts w:ascii="Times New Roman" w:cs="Times New Roman" w:eastAsia="Times New Roman" w:hAnsi="Times New Roman"/>
          <w:sz w:val="18"/>
          <w:szCs w:val="18"/>
          <w:color w:val="231F20"/>
        </w:rPr>
        <w:t>Basic and diluted net loss per share attributable to common stockholders is presented in conformity with the two-class method required for participating securities. Basic and diluted net loss per share attributable to common stockholders is computed by dividing the net loss attributable to common stockholders by the weighted-average number of common shares outstanding for the period without consideration of potentially dilutive securities. The Company’s potentially dilutive shares, which consist of outstanding common stock options and restricted stock units, were excluded in the computation of diluted net loss per share for the period as the result would be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Emerging Growth Company and Smaller Reporting Company</w:t>
      </w:r>
    </w:p>
    <w:p>
      <w:pPr>
        <w:spacing w:after="0" w:line="121" w:lineRule="exact"/>
        <w:rPr>
          <w:sz w:val="20"/>
          <w:szCs w:val="20"/>
          <w:color w:val="auto"/>
        </w:rPr>
      </w:pPr>
    </w:p>
    <w:p>
      <w:pPr>
        <w:ind w:right="120" w:firstLine="419"/>
        <w:spacing w:after="0" w:line="274" w:lineRule="auto"/>
        <w:rPr>
          <w:sz w:val="20"/>
          <w:szCs w:val="20"/>
          <w:color w:val="auto"/>
        </w:rPr>
      </w:pPr>
      <w:r>
        <w:rPr>
          <w:rFonts w:ascii="Times New Roman" w:cs="Times New Roman" w:eastAsia="Times New Roman" w:hAnsi="Times New Roman"/>
          <w:sz w:val="17"/>
          <w:szCs w:val="17"/>
          <w:color w:val="231F20"/>
        </w:rPr>
        <w:t>The Company is an “emerging growth company” as defined in the Jumpstart Our Business Startups Act of 2012, as well as a "smaller reporting company, as defined by the Securities and Exchange Commission per Rule 12b-2 of the Exchange Act. As such the Company is eligible for exemptions from various reporting requirements applicable to other public companies that are not emerging growth companies or smaller reporting companies, including reduced reporting and extended transition periods to comply with new or revised accounting standards for public business entities. The Company has elected to avail themselves of this exemption and, therefore, will not be subject to the timeline for adopting new or revised accounting standards for public business entities that are not emerging growth companies, and will follow the transition guidance applicable to private companies.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3" w:right="419" w:bottom="1440" w:gutter="0" w:footer="0" w:header="0"/>
        </w:sectPr>
      </w:pPr>
    </w:p>
    <w:bookmarkStart w:id="88" w:name="page89"/>
    <w:bookmarkEnd w:id="88"/>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117" w:lineRule="exact"/>
        <w:rPr>
          <w:sz w:val="20"/>
          <w:szCs w:val="20"/>
          <w:color w:val="auto"/>
        </w:rPr>
      </w:pPr>
    </w:p>
    <w:p>
      <w:pPr>
        <w:ind w:left="120" w:right="100" w:firstLine="419"/>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(the "FASB") issued Accounting Standards Updated ("ASU") No.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Instruments—Credit Losses (Topic 326): Measurement of Credit Losses on Financial Instruments. </w:t>
      </w:r>
      <w:r>
        <w:rPr>
          <w:rFonts w:ascii="Times New Roman" w:cs="Times New Roman" w:eastAsia="Times New Roman" w:hAnsi="Times New Roman"/>
          <w:sz w:val="18"/>
          <w:szCs w:val="18"/>
          <w:color w:val="auto"/>
        </w:rPr>
        <w:t>The ASU amends the impairment model by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to use a forward-looking approach based on expected losses to estimate credit losses on certain types of financial instruments, including trade receivables and available-for-sale debt securities. The guidance was effective for the Company beginning in the first quarter of 2023. The amendments in ASU 2016-13 were adopted with no material impact on the Company's consolidated financial statements.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left="120" w:right="380" w:firstLine="41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The ASU updates reportable segment disclosure requirements, primarily through requiring enhanced disclosures about significant segment expenses and information used to assess segment performance. The ASU is effective for fiscal years beginning after December 15, 2023, with early adoption permitted. The Company is currently evaluating the impact of adopting this ASU on its disclosures.</w:t>
      </w:r>
    </w:p>
    <w:p>
      <w:pPr>
        <w:spacing w:after="0" w:line="180" w:lineRule="exact"/>
        <w:rPr>
          <w:sz w:val="20"/>
          <w:szCs w:val="20"/>
          <w:color w:val="auto"/>
        </w:rPr>
      </w:pPr>
    </w:p>
    <w:p>
      <w:pPr>
        <w:ind w:left="120" w:right="300" w:firstLine="419"/>
        <w:spacing w:after="0" w:line="281"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is currently evaluating the impact of adopting this ASU on its disclosures.</w:t>
      </w:r>
    </w:p>
    <w:p>
      <w:pPr>
        <w:spacing w:after="0" w:line="166" w:lineRule="exact"/>
        <w:rPr>
          <w:sz w:val="20"/>
          <w:szCs w:val="20"/>
          <w:color w:val="auto"/>
        </w:rPr>
      </w:pPr>
    </w:p>
    <w:p>
      <w:pPr>
        <w:ind w:left="120" w:right="260" w:firstLine="419"/>
        <w:spacing w:after="0" w:line="282" w:lineRule="auto"/>
        <w:rPr>
          <w:sz w:val="20"/>
          <w:szCs w:val="20"/>
          <w:color w:val="auto"/>
        </w:rPr>
      </w:pPr>
      <w:r>
        <w:rPr>
          <w:rFonts w:ascii="Times New Roman" w:cs="Times New Roman" w:eastAsia="Times New Roman" w:hAnsi="Times New Roman"/>
          <w:sz w:val="18"/>
          <w:szCs w:val="18"/>
          <w:color w:val="auto"/>
        </w:rPr>
        <w:t>As of December 31, 2023, there are no additional ASUs issued and not yet adopted that are expected to have a material impact on the Company's financial statements and related disclosures.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ind w:left="120" w:right="200" w:firstLine="41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87" w:lineRule="exact"/>
        <w:rPr>
          <w:sz w:val="20"/>
          <w:szCs w:val="20"/>
          <w:color w:val="auto"/>
        </w:rPr>
      </w:pPr>
    </w:p>
    <w:p>
      <w:pPr>
        <w:ind w:left="120" w:right="240" w:firstLine="419"/>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162" w:lineRule="exact"/>
        <w:rPr>
          <w:sz w:val="20"/>
          <w:szCs w:val="20"/>
          <w:color w:val="auto"/>
        </w:rPr>
      </w:pPr>
    </w:p>
    <w:p>
      <w:pPr>
        <w:ind w:left="120" w:right="120" w:firstLine="419"/>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76" w:lineRule="exact"/>
        <w:rPr>
          <w:sz w:val="20"/>
          <w:szCs w:val="20"/>
          <w:color w:val="auto"/>
        </w:rPr>
      </w:pPr>
    </w:p>
    <w:p>
      <w:pPr>
        <w:ind w:left="120" w:right="160" w:firstLine="419"/>
        <w:spacing w:after="0" w:line="282" w:lineRule="auto"/>
        <w:rPr>
          <w:sz w:val="20"/>
          <w:szCs w:val="20"/>
          <w:color w:val="auto"/>
        </w:rPr>
      </w:pPr>
      <w:r>
        <w:rPr>
          <w:rFonts w:ascii="Times New Roman" w:cs="Times New Roman" w:eastAsia="Times New Roman" w:hAnsi="Times New Roman"/>
          <w:sz w:val="18"/>
          <w:szCs w:val="18"/>
          <w:color w:val="auto"/>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Company's cash and cash equivalents included Level 1 investments in treasury securities of $129.1 and $144.3 million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2022, respectively. These securities are classified as held-to-maturity and all have been purchased with original maturities of 90 days or less.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Held-to-maturity debt securities are recorded at amortized cost in the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100" w:type="dxa"/>
            <w:vAlign w:val="bottom"/>
          </w:tcPr>
          <w:p>
            <w:pPr>
              <w:spacing w:after="0"/>
              <w:rPr>
                <w:sz w:val="14"/>
                <w:szCs w:val="14"/>
                <w:color w:val="auto"/>
              </w:rPr>
            </w:pPr>
          </w:p>
        </w:tc>
      </w:tr>
      <w:tr>
        <w:trPr>
          <w:trHeight w:val="23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129,113</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129,141</w:t>
            </w:r>
          </w:p>
        </w:tc>
        <w:tc>
          <w:tcPr>
            <w:tcW w:w="100" w:type="dxa"/>
            <w:vAlign w:val="bottom"/>
            <w:shd w:val="clear" w:color="auto" w:fill="CFF0FC"/>
          </w:tcPr>
          <w:p>
            <w:pPr>
              <w:spacing w:after="0"/>
              <w:rPr>
                <w:sz w:val="20"/>
                <w:szCs w:val="20"/>
                <w:color w:val="auto"/>
              </w:rPr>
            </w:pPr>
          </w:p>
        </w:tc>
      </w:tr>
      <w:tr>
        <w:trPr>
          <w:trHeight w:val="648"/>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4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100" w:type="dxa"/>
            <w:vAlign w:val="bottom"/>
          </w:tcPr>
          <w:p>
            <w:pPr>
              <w:spacing w:after="0"/>
              <w:rPr>
                <w:sz w:val="14"/>
                <w:szCs w:val="14"/>
                <w:color w:val="auto"/>
              </w:rPr>
            </w:pPr>
          </w:p>
        </w:tc>
      </w:tr>
      <w:tr>
        <w:trPr>
          <w:trHeight w:val="23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144,319</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144,364</w:t>
            </w:r>
          </w:p>
        </w:tc>
        <w:tc>
          <w:tcPr>
            <w:tcW w:w="10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left="120" w:right="300" w:firstLine="41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outstanding debt for disclosure purposes on a recurring basis. As of December 31, 2023 and 2022, total debt of $33.9 million and $33.3 million is reported at amortized cost, respectively. This outstanding debt is classified as Level 2 as it is not actively traded. The amortized cost of the outstanding debt approximates the fair value.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statements as of December 31, 2023 and 2022, do not include any assets or liabilities that are measured at fair value on a nonrecurring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Property and Equipment, Net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(1,627 )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(1,434 )</w:t>
            </w:r>
          </w:p>
        </w:tc>
      </w:tr>
      <w:tr>
        <w:trPr>
          <w:trHeight w:val="236"/>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-505460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Depreciation expense was $0.6 million and $0.7 million for the years ended December 31, 2023 and 2022 respectively.</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Accrued and Other Current Liabilities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300" w:type="dxa"/>
            <w:vAlign w:val="bottom"/>
            <w:gridSpan w:val="3"/>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2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interest payable</w:t>
            </w:r>
          </w:p>
        </w:tc>
        <w:tc>
          <w:tcPr>
            <w:tcW w:w="2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3300" w:type="dxa"/>
            <w:vAlign w:val="bottom"/>
            <w:gridSpan w:val="3"/>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82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4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Other Noncurrent Liabilities</w:t>
            </w:r>
          </w:p>
        </w:tc>
        <w:tc>
          <w:tcPr>
            <w:tcW w:w="22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 term interest payable</w:t>
            </w:r>
          </w:p>
        </w:tc>
        <w:tc>
          <w:tcPr>
            <w:tcW w:w="3300" w:type="dxa"/>
            <w:vAlign w:val="bottom"/>
            <w:gridSpan w:val="3"/>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2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3300" w:type="dxa"/>
            <w:vAlign w:val="bottom"/>
            <w:gridSpan w:val="3"/>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8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6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4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-2442210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-2425065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-1096645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6" w:right="339" w:bottom="1440" w:gutter="0" w:footer="0" w:header="0"/>
        </w:sectPr>
      </w:pPr>
    </w:p>
    <w:bookmarkStart w:id="90" w:name="page91"/>
    <w:bookmarkEnd w:id="90"/>
    <w:p>
      <w:pPr>
        <w:ind w:left="120"/>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21" w:lineRule="exact"/>
        <w:rPr>
          <w:sz w:val="20"/>
          <w:szCs w:val="20"/>
          <w:color w:val="auto"/>
        </w:rPr>
      </w:pPr>
    </w:p>
    <w:p>
      <w:pPr>
        <w:ind w:left="120" w:right="80" w:firstLine="419"/>
        <w:spacing w:after="0" w:line="258" w:lineRule="auto"/>
        <w:rPr>
          <w:sz w:val="20"/>
          <w:szCs w:val="20"/>
          <w:color w:val="auto"/>
        </w:rPr>
      </w:pPr>
      <w:r>
        <w:rPr>
          <w:rFonts w:ascii="Times New Roman" w:cs="Times New Roman" w:eastAsia="Times New Roman" w:hAnsi="Times New Roman"/>
          <w:sz w:val="18"/>
          <w:szCs w:val="18"/>
          <w:color w:val="auto"/>
        </w:rPr>
        <w:t>In 2023, the Company had two credit and security agreements with certain entities affiliated with MidCap Financial Trust (such entities collectively, “MidCap”), which provided for a maximum $40.0 million credit facility, consisting of a $35.0 million senior secured term loan (the “MidCap Term Loan”) and a $5.0 million revolving loan (the "MidCap Revolver" and collectively with the Term Loan, the “MidCap Credit Facility”). In July 2023, the Company paid off and discharged all of its obligations under the agreement evidencing the MidCap Revolver, which terminated in accordance with the provision of the payoff and termination agreements. As of December 31, 2023, the MidCap Term Loan remained outstanding.</w:t>
      </w:r>
    </w:p>
    <w:p>
      <w:pPr>
        <w:spacing w:after="0" w:line="183" w:lineRule="exact"/>
        <w:rPr>
          <w:sz w:val="20"/>
          <w:szCs w:val="20"/>
          <w:color w:val="auto"/>
        </w:rPr>
      </w:pPr>
    </w:p>
    <w:p>
      <w:pPr>
        <w:ind w:left="120" w:right="80" w:firstLine="464"/>
        <w:spacing w:after="0" w:line="254" w:lineRule="auto"/>
        <w:rPr>
          <w:sz w:val="20"/>
          <w:szCs w:val="20"/>
          <w:color w:val="auto"/>
        </w:rPr>
      </w:pPr>
      <w:r>
        <w:rPr>
          <w:rFonts w:ascii="Times New Roman" w:cs="Times New Roman" w:eastAsia="Times New Roman" w:hAnsi="Times New Roman"/>
          <w:sz w:val="18"/>
          <w:szCs w:val="18"/>
          <w:color w:val="auto"/>
        </w:rPr>
        <w:t>As of December 31, 2023, commitment o</w:t>
      </w:r>
      <w:r>
        <w:rPr>
          <w:rFonts w:ascii="Times New Roman" w:cs="Times New Roman" w:eastAsia="Times New Roman" w:hAnsi="Times New Roman"/>
          <w:sz w:val="18"/>
          <w:szCs w:val="18"/>
          <w:color w:val="231F20"/>
        </w:rPr>
        <w:t>bligations under the Amended and Restated Credit and Security Agreement (Term Loan) (the “MidCap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Term Loan Agreement”) were guaranteed by the Company’s current and future subsidiaries, subject to exceptions for certain foreign subsidiaries, and secured by substantially all assets of the Company, including material intellectual property. Additionally, as of December 31, 2023, the Company was subject to customary affirmative and negative covenants as defined in the MidCap Term Loan Agreement, including minimum revenue and cash covenants, as well as covenants that limit or restrict the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As of December 31, 2023, the Company was in compliance with all financial and non-financial covenants under the MidCap Term Loan Agreement. The MidCap Term Loan Agreement had a maturity date of November 1, 2025, and principal payments under the Term Loan were scheduled to commence in December 2024.</w:t>
      </w:r>
    </w:p>
    <w:p>
      <w:pPr>
        <w:spacing w:after="0" w:line="188" w:lineRule="exact"/>
        <w:rPr>
          <w:sz w:val="20"/>
          <w:szCs w:val="20"/>
          <w:color w:val="auto"/>
        </w:rPr>
      </w:pPr>
    </w:p>
    <w:p>
      <w:pPr>
        <w:ind w:left="120" w:right="240" w:firstLine="419"/>
        <w:spacing w:after="0" w:line="256" w:lineRule="auto"/>
        <w:rPr>
          <w:sz w:val="20"/>
          <w:szCs w:val="20"/>
          <w:color w:val="auto"/>
        </w:rPr>
      </w:pPr>
      <w:r>
        <w:rPr>
          <w:rFonts w:ascii="Times New Roman" w:cs="Times New Roman" w:eastAsia="Times New Roman" w:hAnsi="Times New Roman"/>
          <w:sz w:val="18"/>
          <w:szCs w:val="18"/>
          <w:color w:val="231F20"/>
        </w:rPr>
        <w:t>As of December 31, 2023, the MidCap Term Loan Agreement contained events of default that included, among others, non-payment of principal, interest or fees, breach of covenants, inaccuracy of representations and warranties, cross-defaults and bankruptcy and insolvency events. In addition, as of December 31, 2023, the MidCap Term Loan Agreement included a stated floating interest rate that was reserve-adjusted Secured Overnight Finance Rate, plus 7.00%, and a provision for a final payment fee of 6.0% of the $35.0 million Term Loan balance, which had been partially accrued and recorded as a long-term interest payable in other noncurrent liabilities of $1.5 million as of December 31, 2023 and $1.2 million as of December 31, 2022.</w:t>
      </w:r>
    </w:p>
    <w:p>
      <w:pPr>
        <w:spacing w:after="0" w:line="187" w:lineRule="exact"/>
        <w:rPr>
          <w:sz w:val="20"/>
          <w:szCs w:val="20"/>
          <w:color w:val="auto"/>
        </w:rPr>
      </w:pPr>
    </w:p>
    <w:p>
      <w:pPr>
        <w:ind w:left="120" w:right="220" w:firstLine="419"/>
        <w:spacing w:after="0" w:line="254" w:lineRule="auto"/>
        <w:rPr>
          <w:sz w:val="20"/>
          <w:szCs w:val="20"/>
          <w:color w:val="auto"/>
        </w:rPr>
      </w:pPr>
      <w:r>
        <w:rPr>
          <w:rFonts w:ascii="Times New Roman" w:cs="Times New Roman" w:eastAsia="Times New Roman" w:hAnsi="Times New Roman"/>
          <w:sz w:val="18"/>
          <w:szCs w:val="18"/>
          <w:color w:val="auto"/>
        </w:rPr>
        <w:t xml:space="preserve">In January 2024, the Company entered into a loan and security agreement (the “Hercules Credit Agreement”) with Hercules Capital Inc. (“Hercules”) and certain of its affiliates (collectively with Hercules, the “Lenders”), which provides for a maximum $65.0 million credit facility. At closing, Hercules funded $35.0 million, which the Company utilized to pay in full the balance due under the MidCap Term Loan. The Hercules Credit Agreement has a maturity date of July 1, 2028, with an interest only period of 30 months, which is extendable to up to 36 months. </w:t>
      </w:r>
      <w:r>
        <w:rPr>
          <w:rFonts w:ascii="Times New Roman" w:cs="Times New Roman" w:eastAsia="Times New Roman" w:hAnsi="Times New Roman"/>
          <w:sz w:val="18"/>
          <w:szCs w:val="18"/>
          <w:color w:val="231F20"/>
        </w:rPr>
        <w:t>The stated floating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interest rate under the Hercules Credit Agreement is the greater of 10.35% or the Prime Rate plus 2.35%, with the initial interest rate of 10.85%. The final payment fee under the Hercules Credit Agreement is 5.95% of the funded balance. Obligations under the agreement are subject to customary affirmative and negative covenants. In conjunction with the funding of the Hercules Credit Agreement, the Company issued warrants to the Lenders to purchase up to an aggregate of 135,686 shares of common stock at an exercise price of $5.159 per share, which have a term of seven years from date of issuance.</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Long-term and short-term debt, as of December 31, 2023 and 2022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360" w:type="dxa"/>
            <w:vAlign w:val="bottom"/>
            <w:vMerge w:val="restart"/>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12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MidCap Term Loan</w:t>
            </w:r>
          </w:p>
        </w:tc>
        <w:tc>
          <w:tcPr>
            <w:tcW w:w="336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principal payments due</w:t>
            </w:r>
          </w:p>
        </w:tc>
        <w:tc>
          <w:tcPr>
            <w:tcW w:w="2360" w:type="dxa"/>
            <w:vAlign w:val="bottom"/>
            <w:tcBorders>
              <w:top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tcBorders>
              <w:top w:val="single" w:sz="8" w:color="CFF0FC"/>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debt discount related to warrant liability and issuance costs</w:t>
            </w:r>
          </w:p>
        </w:tc>
        <w:tc>
          <w:tcPr>
            <w:tcW w:w="23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(1,073 )</w:t>
            </w:r>
          </w:p>
        </w:tc>
        <w:tc>
          <w:tcPr>
            <w:tcW w:w="6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(1,687 )</w:t>
            </w: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amounts outstanding</w:t>
            </w:r>
          </w:p>
        </w:tc>
        <w:tc>
          <w:tcPr>
            <w:tcW w:w="2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33,927</w:t>
            </w:r>
          </w:p>
        </w:tc>
        <w:tc>
          <w:tcPr>
            <w:tcW w:w="2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discount</w:t>
            </w:r>
          </w:p>
        </w:tc>
        <w:tc>
          <w:tcPr>
            <w:tcW w:w="23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(2,219 )</w:t>
            </w:r>
          </w:p>
        </w:tc>
        <w:tc>
          <w:tcPr>
            <w:tcW w:w="6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60" w:type="dxa"/>
            <w:vAlign w:val="bottom"/>
            <w:tcBorders>
              <w:top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31,708</w:t>
            </w:r>
          </w:p>
        </w:tc>
        <w:tc>
          <w:tcPr>
            <w:tcW w:w="280" w:type="dxa"/>
            <w:vAlign w:val="bottom"/>
            <w:tcBorders>
              <w:top w:val="single" w:sz="8" w:color="CFF0FC"/>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36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89</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1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-1731010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-1087755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ind w:left="540"/>
        <w:spacing w:after="0"/>
        <w:rPr>
          <w:sz w:val="20"/>
          <w:szCs w:val="20"/>
          <w:color w:val="auto"/>
        </w:rPr>
      </w:pPr>
      <w:r>
        <w:rPr>
          <w:rFonts w:ascii="Times New Roman" w:cs="Times New Roman" w:eastAsia="Times New Roman" w:hAnsi="Times New Roman"/>
          <w:sz w:val="18"/>
          <w:szCs w:val="18"/>
          <w:color w:val="auto"/>
        </w:rPr>
        <w:t>The repayment schedule relating to the principal amount of the MidCap Term Loan as of December 31, 2023,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(2,917 )</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(32,083 )</w:t>
            </w:r>
          </w:p>
        </w:tc>
      </w:tr>
      <w:tr>
        <w:trPr>
          <w:trHeight w:val="243"/>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repayments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(35,000 )</w:t>
            </w:r>
          </w:p>
        </w:tc>
      </w:tr>
      <w:tr>
        <w:trPr>
          <w:trHeight w:val="20"/>
        </w:trPr>
        <w:tc>
          <w:tcPr>
            <w:tcW w:w="9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121" w:lineRule="exact"/>
        <w:rPr>
          <w:sz w:val="20"/>
          <w:szCs w:val="20"/>
          <w:color w:val="auto"/>
        </w:rPr>
      </w:pPr>
    </w:p>
    <w:p>
      <w:pPr>
        <w:ind w:left="120" w:right="140" w:firstLine="419"/>
        <w:spacing w:after="0" w:line="258" w:lineRule="auto"/>
        <w:rPr>
          <w:sz w:val="20"/>
          <w:szCs w:val="20"/>
          <w:color w:val="auto"/>
        </w:rPr>
      </w:pPr>
      <w:r>
        <w:rPr>
          <w:rFonts w:ascii="Times New Roman" w:cs="Times New Roman" w:eastAsia="Times New Roman" w:hAnsi="Times New Roman"/>
          <w:sz w:val="18"/>
          <w:szCs w:val="18"/>
          <w:color w:val="auto"/>
        </w:rPr>
        <w:t>The Company’s leases include facility leases and storage leases. In determining the present value of lease payments, the Company uses its incremental borrowing rate based on the information available at the lease commencement date if the rate implicit in the lease is not readily determinable. The Company</w:t>
      </w:r>
      <w:r>
        <w:rPr>
          <w:rFonts w:ascii="Times New Roman" w:cs="Times New Roman" w:eastAsia="Times New Roman" w:hAnsi="Times New Roman"/>
          <w:sz w:val="18"/>
          <w:szCs w:val="18"/>
          <w:color w:val="231F20"/>
        </w:rPr>
        <w:t>’s incremental borrowing rate represents the interest rate that the Company would expect to incur at lease commencement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borrow an amount equal to the lease payments on a collateralized basis with similar terms and payments, in an economic environment where the leased asset is located. </w:t>
      </w:r>
      <w:r>
        <w:rPr>
          <w:rFonts w:ascii="Times New Roman" w:cs="Times New Roman" w:eastAsia="Times New Roman" w:hAnsi="Times New Roman"/>
          <w:sz w:val="18"/>
          <w:szCs w:val="18"/>
          <w:color w:val="000000"/>
        </w:rPr>
        <w:t>In determining the lease term, the Company includes all renewal options that are reasonably probable to be executed.</w:t>
      </w:r>
    </w:p>
    <w:p>
      <w:pPr>
        <w:spacing w:after="0" w:line="183" w:lineRule="exact"/>
        <w:rPr>
          <w:sz w:val="20"/>
          <w:szCs w:val="20"/>
          <w:color w:val="auto"/>
        </w:rPr>
      </w:pPr>
    </w:p>
    <w:p>
      <w:pPr>
        <w:ind w:left="120" w:right="240" w:firstLine="419"/>
        <w:spacing w:after="0" w:line="258" w:lineRule="auto"/>
        <w:rPr>
          <w:sz w:val="20"/>
          <w:szCs w:val="20"/>
          <w:color w:val="auto"/>
        </w:rPr>
      </w:pPr>
      <w:r>
        <w:rPr>
          <w:rFonts w:ascii="Times New Roman" w:cs="Times New Roman" w:eastAsia="Times New Roman" w:hAnsi="Times New Roman"/>
          <w:sz w:val="18"/>
          <w:szCs w:val="18"/>
          <w:color w:val="auto"/>
        </w:rPr>
        <w:t>The Company leases its corporate headquarters in Menlo Park, California. The lease commenced in August 2021 and was originally for a term of 37 months from the commencement date. In December 2023, the Company entered into an amendment to the lease, extending the lease term an additional 26 months. Upon signing the amendment, the Company recorded an aggregate lease right-of-use ("ROU") asset and lease liability of $1.2 million. The lease ROU asset and corresponding lease liability were estimated using a weighted-average incremental borrowing rate of 11.40%. Total base rent for the remaining 34 months under the amended lease agreement is approximately $1.5 million.</w:t>
      </w:r>
    </w:p>
    <w:p>
      <w:pPr>
        <w:spacing w:after="0" w:line="183" w:lineRule="exact"/>
        <w:rPr>
          <w:sz w:val="20"/>
          <w:szCs w:val="20"/>
          <w:color w:val="auto"/>
        </w:rPr>
      </w:pPr>
    </w:p>
    <w:p>
      <w:pPr>
        <w:ind w:left="120" w:right="340" w:firstLine="4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the Company entered into a supply agreement that is expected to last approximately 18 months. The supply agreement contained provisions that, when evaluated, indicated an embedded lease was present within the agreement and the Company recorded an aggregate lease ROU asset and lease liability of $0.7 million. The lease ROU asset and corresponding lease liability were estimated using a weighted-average incremental borrowing rate of 10.75%. Total base rent under the agreement is approximately $0.7 million.</w:t>
      </w:r>
    </w:p>
    <w:p>
      <w:pPr>
        <w:spacing w:after="0" w:line="180" w:lineRule="exact"/>
        <w:rPr>
          <w:sz w:val="20"/>
          <w:szCs w:val="20"/>
          <w:color w:val="auto"/>
        </w:rPr>
      </w:pPr>
    </w:p>
    <w:p>
      <w:pPr>
        <w:jc w:val="both"/>
        <w:ind w:left="120" w:right="300" w:firstLine="419"/>
        <w:spacing w:after="0" w:line="266"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noncancelable lease term. The Company’s rent expense was $1.2 million and $0.7 million for the years ended December 31, 2023 and 2022, respectively. As of December 31, 2023, the weighted average remaining lease term for the Company's leases was 2.5 years.</w:t>
      </w:r>
    </w:p>
    <w:p>
      <w:pPr>
        <w:spacing w:after="0" w:line="176" w:lineRule="exact"/>
        <w:rPr>
          <w:sz w:val="20"/>
          <w:szCs w:val="20"/>
          <w:color w:val="auto"/>
        </w:rPr>
      </w:pPr>
    </w:p>
    <w:p>
      <w:pPr>
        <w:ind w:left="120" w:right="120" w:firstLine="419"/>
        <w:spacing w:after="0" w:line="282" w:lineRule="auto"/>
        <w:rPr>
          <w:sz w:val="20"/>
          <w:szCs w:val="20"/>
          <w:color w:val="auto"/>
        </w:rPr>
      </w:pPr>
      <w:r>
        <w:rPr>
          <w:rFonts w:ascii="Times New Roman" w:cs="Times New Roman" w:eastAsia="Times New Roman" w:hAnsi="Times New Roman"/>
          <w:sz w:val="18"/>
          <w:szCs w:val="18"/>
          <w:color w:val="auto"/>
        </w:rPr>
        <w:t>Operating lease expense and supplemental cash flow information related to operating leases for the years ended December 31, 2023 and 2022 were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780" w:type="dxa"/>
            <w:vAlign w:val="bottom"/>
            <w:shd w:val="clear" w:color="auto" w:fill="CFF0FC"/>
          </w:tcPr>
          <w:p>
            <w:pPr>
              <w:jc w:val="right"/>
              <w:ind w:right="62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7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20"/>
                <w:szCs w:val="20"/>
                <w:color w:val="auto"/>
              </w:rPr>
            </w:pPr>
          </w:p>
        </w:tc>
      </w:tr>
      <w:tr>
        <w:trPr>
          <w:trHeight w:val="215"/>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operating lease assets obtained in exchange for</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8"/>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2" w:name="page93"/>
    <w:bookmarkEnd w:id="92"/>
    <w:p>
      <w:pPr>
        <w:ind w:left="540"/>
        <w:spacing w:after="0"/>
        <w:rPr>
          <w:sz w:val="20"/>
          <w:szCs w:val="20"/>
          <w:color w:val="auto"/>
        </w:rPr>
      </w:pPr>
      <w:r>
        <w:rPr>
          <w:rFonts w:ascii="Times New Roman" w:cs="Times New Roman" w:eastAsia="Times New Roman" w:hAnsi="Times New Roman"/>
          <w:sz w:val="18"/>
          <w:szCs w:val="18"/>
          <w:color w:val="auto"/>
        </w:rPr>
        <w:t>Aggregate future minimum lease payments at December 31, 2023 under these noncancelable operating leases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9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FF0FC"/>
          </w:tcPr>
          <w:p>
            <w:pPr>
              <w:spacing w:after="0"/>
              <w:rPr>
                <w:sz w:val="20"/>
                <w:szCs w:val="20"/>
                <w:color w:val="auto"/>
              </w:rPr>
            </w:pPr>
          </w:p>
        </w:tc>
      </w:tr>
      <w:tr>
        <w:trPr>
          <w:trHeight w:val="23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r>
      <w:tr>
        <w:trPr>
          <w:trHeight w:val="243"/>
        </w:trPr>
        <w:tc>
          <w:tcPr>
            <w:tcW w:w="9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0"/>
                <w:szCs w:val="20"/>
                <w:color w:val="auto"/>
              </w:rPr>
            </w:pPr>
          </w:p>
        </w:tc>
      </w:tr>
      <w:tr>
        <w:trPr>
          <w:trHeight w:val="243"/>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(229 )</w:t>
            </w:r>
          </w:p>
        </w:tc>
      </w:tr>
      <w:tr>
        <w:trPr>
          <w:trHeight w:val="236"/>
        </w:trPr>
        <w:tc>
          <w:tcPr>
            <w:tcW w:w="9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top w:val="single" w:sz="8" w:color="CFF0FC"/>
            </w:tcBorders>
          </w:tcPr>
          <w:p>
            <w:pPr>
              <w:spacing w:after="0"/>
              <w:rPr>
                <w:sz w:val="20"/>
                <w:szCs w:val="20"/>
                <w:color w:val="auto"/>
              </w:rPr>
            </w:pPr>
          </w:p>
        </w:tc>
      </w:tr>
      <w:tr>
        <w:trPr>
          <w:trHeight w:val="243"/>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liability</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(573 )</w:t>
            </w:r>
          </w:p>
        </w:tc>
      </w:tr>
      <w:tr>
        <w:trPr>
          <w:trHeight w:val="236"/>
        </w:trPr>
        <w:tc>
          <w:tcPr>
            <w:tcW w:w="9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top w:val="single" w:sz="8" w:color="CFF0FC"/>
            </w:tcBorders>
          </w:tcPr>
          <w:p>
            <w:pPr>
              <w:spacing w:after="0"/>
              <w:rPr>
                <w:sz w:val="20"/>
                <w:szCs w:val="20"/>
                <w:color w:val="auto"/>
              </w:rPr>
            </w:pPr>
          </w:p>
        </w:tc>
      </w:tr>
      <w:tr>
        <w:trPr>
          <w:trHeight w:val="20"/>
        </w:trPr>
        <w:tc>
          <w:tcPr>
            <w:tcW w:w="9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Legal Proceedings</w:t>
      </w:r>
    </w:p>
    <w:p>
      <w:pPr>
        <w:spacing w:after="0" w:line="121" w:lineRule="exact"/>
        <w:rPr>
          <w:sz w:val="20"/>
          <w:szCs w:val="20"/>
          <w:color w:val="auto"/>
        </w:rPr>
      </w:pPr>
    </w:p>
    <w:p>
      <w:pPr>
        <w:ind w:left="120" w:right="80" w:firstLine="419"/>
        <w:spacing w:after="0" w:line="253" w:lineRule="auto"/>
        <w:rPr>
          <w:sz w:val="20"/>
          <w:szCs w:val="20"/>
          <w:color w:val="auto"/>
        </w:rPr>
      </w:pPr>
      <w:r>
        <w:rPr>
          <w:rFonts w:ascii="Times New Roman" w:cs="Times New Roman" w:eastAsia="Times New Roman" w:hAnsi="Times New Roman"/>
          <w:sz w:val="18"/>
          <w:szCs w:val="18"/>
          <w:color w:val="auto"/>
        </w:rPr>
        <w:t xml:space="preserve">On September 16, 2021, the Company filed suit in the U.S. District Court for the District of Delaware (C.A. No. 1:21-cv-01317) alleging that Ivantis, Inc. directly and indirectly infringes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infringe the four originally asserted patents by making, using, selling, and offering for sale the Hydrus® Microstent, and that all defendants also infringe U.S. Patent No. 11,389,328. The defendants reasserted counterclaims requesting declaratory judgments that the Company’s asserted patents-in-suit are not infringed and/or invalid. A five-day jury trial is scheduled to commence in the first half of April 2024. Ivantis and Alcon filed petitions with the U.S. Patent Office seeking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U.S. Patent Nos. 8,287,482, 9,370,443, 9,486,361, and 10,314,742 (IPR2022-01529, IPR2022-01530, IPR2022-01533, IPR2022-01540), each of which the U.S. Patent Office denied for raising prior art references and invalidity arguments that were cumulative of those previously considered by the Office. The Company is presently unable to predict the outcome of this lawsuit or to reasonably estimate the potential financial impact of the lawsuit on the Company, if any.</w:t>
      </w:r>
    </w:p>
    <w:p>
      <w:pPr>
        <w:spacing w:after="0" w:line="190" w:lineRule="exact"/>
        <w:rPr>
          <w:sz w:val="20"/>
          <w:szCs w:val="20"/>
          <w:color w:val="auto"/>
        </w:rPr>
      </w:pPr>
    </w:p>
    <w:p>
      <w:pPr>
        <w:ind w:left="120" w:right="100" w:firstLine="419"/>
        <w:spacing w:after="0" w:line="254" w:lineRule="auto"/>
        <w:rPr>
          <w:sz w:val="20"/>
          <w:szCs w:val="20"/>
          <w:color w:val="auto"/>
        </w:rPr>
      </w:pPr>
      <w:r>
        <w:rPr>
          <w:rFonts w:ascii="Times New Roman" w:cs="Times New Roman" w:eastAsia="Times New Roman" w:hAnsi="Times New Roman"/>
          <w:sz w:val="18"/>
          <w:szCs w:val="18"/>
          <w:color w:val="auto"/>
        </w:rPr>
        <w:t>The Company is subject to claims and assessments from time to time in the ordinary course of business. Accruals for litigation and contingencies are reflected in the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As of December 31, 2023 and December 31, 2022, the Company was not involved in any material legal proceedings except as described above.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Indemnification</w:t>
      </w:r>
    </w:p>
    <w:p>
      <w:pPr>
        <w:spacing w:after="0" w:line="121" w:lineRule="exact"/>
        <w:rPr>
          <w:sz w:val="20"/>
          <w:szCs w:val="20"/>
          <w:color w:val="auto"/>
        </w:rPr>
      </w:pPr>
    </w:p>
    <w:p>
      <w:pPr>
        <w:ind w:left="120" w:right="140" w:firstLine="419"/>
        <w:spacing w:after="0" w:line="281" w:lineRule="auto"/>
        <w:rPr>
          <w:sz w:val="20"/>
          <w:szCs w:val="20"/>
          <w:color w:val="auto"/>
        </w:rPr>
      </w:pPr>
      <w:r>
        <w:rPr>
          <w:rFonts w:ascii="Times New Roman" w:cs="Times New Roman" w:eastAsia="Times New Roman" w:hAnsi="Times New Roman"/>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64" w:lineRule="exact"/>
        <w:rPr>
          <w:sz w:val="20"/>
          <w:szCs w:val="20"/>
          <w:color w:val="auto"/>
        </w:rPr>
      </w:pPr>
    </w:p>
    <w:p>
      <w:pPr>
        <w:ind w:left="120" w:right="80" w:firstLine="419"/>
        <w:spacing w:after="0" w:line="256" w:lineRule="auto"/>
        <w:rPr>
          <w:sz w:val="20"/>
          <w:szCs w:val="20"/>
          <w:color w:val="auto"/>
        </w:rPr>
      </w:pPr>
      <w:r>
        <w:rPr>
          <w:rFonts w:ascii="Times New Roman" w:cs="Times New Roman" w:eastAsia="Times New Roman" w:hAnsi="Times New Roman"/>
          <w:sz w:val="18"/>
          <w:szCs w:val="18"/>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3" w:name="page94"/>
    <w:bookmarkEnd w:id="93"/>
    <w:p>
      <w:pPr>
        <w:ind w:left="120"/>
        <w:spacing w:after="0"/>
        <w:rPr>
          <w:sz w:val="20"/>
          <w:szCs w:val="20"/>
          <w:color w:val="auto"/>
        </w:rPr>
      </w:pPr>
      <w:r>
        <w:rPr>
          <w:rFonts w:ascii="Times New Roman" w:cs="Times New Roman" w:eastAsia="Times New Roman" w:hAnsi="Times New Roman"/>
          <w:sz w:val="18"/>
          <w:szCs w:val="18"/>
          <w:color w:val="auto"/>
        </w:rPr>
        <w:t>Accordingly, the Company has not recognized any liabilities relating to these obligations as of December 31, 2023 and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Common Stock</w:t>
      </w:r>
    </w:p>
    <w:p>
      <w:pPr>
        <w:spacing w:after="0" w:line="121" w:lineRule="exact"/>
        <w:rPr>
          <w:sz w:val="20"/>
          <w:szCs w:val="20"/>
          <w:color w:val="auto"/>
        </w:rPr>
      </w:pPr>
    </w:p>
    <w:p>
      <w:pPr>
        <w:ind w:left="120" w:right="380" w:firstLine="419"/>
        <w:spacing w:after="0" w:line="261" w:lineRule="auto"/>
        <w:rPr>
          <w:sz w:val="20"/>
          <w:szCs w:val="20"/>
          <w:color w:val="auto"/>
        </w:rPr>
      </w:pPr>
      <w:r>
        <w:rPr>
          <w:rFonts w:ascii="Times New Roman" w:cs="Times New Roman" w:eastAsia="Times New Roman" w:hAnsi="Times New Roman"/>
          <w:sz w:val="18"/>
          <w:szCs w:val="18"/>
          <w:color w:val="auto"/>
        </w:rPr>
        <w:t>The Company’s certificate of incorporation provides for 200,000,000 authorized shares of common stock, par value $0.001 per share, and 10,000,000 authorized shares of preferred stock, par value $0.001 per share. The holders of common stock are entitled to receive dividends whenever funds are legally available, when and if declared by the board of directors. As of December 31, 2023, no dividends have been declared. Each share of common stock is entitled to one vote.</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 December 31, 2023 and 2022, the Company had reserved common stock for future issuances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32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6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4,980,190</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4,819,906</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available for future grant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6,033,176</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6,099,584</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2,721,361</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1,014,123</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purchase under ESPP</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1,488,227</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1,226,123</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15,222,954</w:t>
            </w:r>
          </w:p>
        </w:tc>
        <w:tc>
          <w:tcPr>
            <w:tcW w:w="2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13,159,736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b w:val="1"/>
          <w:bCs w:val="1"/>
          <w:color w:val="231F20"/>
        </w:rPr>
        <w:t>Equity Incentive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2011 Stock Option Plan and 2021 Equity Incentive Plan</w:t>
      </w:r>
    </w:p>
    <w:p>
      <w:pPr>
        <w:spacing w:after="0" w:line="121" w:lineRule="exact"/>
        <w:rPr>
          <w:sz w:val="20"/>
          <w:szCs w:val="20"/>
          <w:color w:val="auto"/>
        </w:rPr>
      </w:pPr>
    </w:p>
    <w:p>
      <w:pPr>
        <w:ind w:left="120" w:right="320" w:firstLine="419"/>
        <w:spacing w:after="0" w:line="282" w:lineRule="auto"/>
        <w:rPr>
          <w:sz w:val="20"/>
          <w:szCs w:val="20"/>
          <w:color w:val="auto"/>
        </w:rPr>
      </w:pPr>
      <w:r>
        <w:rPr>
          <w:rFonts w:ascii="Times New Roman" w:cs="Times New Roman" w:eastAsia="Times New Roman" w:hAnsi="Times New Roman"/>
          <w:sz w:val="18"/>
          <w:szCs w:val="18"/>
          <w:color w:val="auto"/>
        </w:rPr>
        <w:t>In 2011, the Company established its 2011 Stock Option Plan (the “2011 Plan”) that provided for the granting of stock options to employees and nonemployees of the Company.</w:t>
      </w:r>
    </w:p>
    <w:p>
      <w:pPr>
        <w:spacing w:after="0" w:line="162" w:lineRule="exact"/>
        <w:rPr>
          <w:sz w:val="20"/>
          <w:szCs w:val="20"/>
          <w:color w:val="auto"/>
        </w:rPr>
      </w:pPr>
    </w:p>
    <w:p>
      <w:pPr>
        <w:ind w:left="120" w:right="100" w:firstLine="419"/>
        <w:spacing w:after="0" w:line="253" w:lineRule="auto"/>
        <w:rPr>
          <w:sz w:val="20"/>
          <w:szCs w:val="20"/>
          <w:color w:val="auto"/>
        </w:rPr>
      </w:pPr>
      <w:r>
        <w:rPr>
          <w:rFonts w:ascii="Times New Roman" w:cs="Times New Roman" w:eastAsia="Times New Roman" w:hAnsi="Times New Roman"/>
          <w:sz w:val="18"/>
          <w:szCs w:val="18"/>
          <w:color w:val="auto"/>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 awards ("RSUs").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be not less than 110% of the grant date fair value of the shares. Options granted to new hires generally vest over a four-year period, with 25% of the shares vesting on the first anniversary of the grant date and the remaining shares vesting in 36 equal monthly installments thereafter; options granted as merit awards generally vest in 48 equal monthly installments following the grant date. RSUs granted generally vest over a four-year period with straight-line vesting in equal amounts.</w:t>
      </w:r>
    </w:p>
    <w:p>
      <w:pPr>
        <w:spacing w:after="0" w:line="194" w:lineRule="exact"/>
        <w:rPr>
          <w:sz w:val="20"/>
          <w:szCs w:val="20"/>
          <w:color w:val="auto"/>
        </w:rPr>
      </w:pPr>
    </w:p>
    <w:p>
      <w:pPr>
        <w:ind w:left="120" w:right="120" w:firstLine="419"/>
        <w:spacing w:after="0" w:line="258" w:lineRule="auto"/>
        <w:rPr>
          <w:sz w:val="20"/>
          <w:szCs w:val="20"/>
          <w:color w:val="auto"/>
        </w:rPr>
      </w:pPr>
      <w:r>
        <w:rPr>
          <w:rFonts w:ascii="Times New Roman" w:cs="Times New Roman" w:eastAsia="Times New Roman" w:hAnsi="Times New Roman"/>
          <w:sz w:val="18"/>
          <w:szCs w:val="18"/>
          <w:color w:val="auto"/>
        </w:rPr>
        <w:t>The Company initially reserved 5,200,000 shares of common stock for future issuance under the 2021 Plan. This initial reserve is subject to annual increase on the first day of each calendar year beginning on January 1, 2022 and ending on and including January 1, 2031. These annual increases are equal to the lesser of (i) 5%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2,414,907 and 2,375,235 shares on January 1, 2023 and 2022, respectively.</w:t>
      </w:r>
    </w:p>
    <w:p>
      <w:pPr>
        <w:spacing w:after="0" w:line="183" w:lineRule="exact"/>
        <w:rPr>
          <w:sz w:val="20"/>
          <w:szCs w:val="20"/>
          <w:color w:val="auto"/>
        </w:rPr>
      </w:pPr>
    </w:p>
    <w:p>
      <w:pPr>
        <w:ind w:left="120" w:right="140" w:firstLine="419"/>
        <w:spacing w:after="0" w:line="282" w:lineRule="auto"/>
        <w:rPr>
          <w:sz w:val="20"/>
          <w:szCs w:val="20"/>
          <w:color w:val="auto"/>
        </w:rPr>
      </w:pPr>
      <w:r>
        <w:rPr>
          <w:rFonts w:ascii="Times New Roman" w:cs="Times New Roman" w:eastAsia="Times New Roman" w:hAnsi="Times New Roman"/>
          <w:sz w:val="18"/>
          <w:szCs w:val="18"/>
          <w:color w:val="auto"/>
        </w:rPr>
        <w:t>The 2011 Plan was superseded by the 2021 Plan at the time of the IPO and no further grants have been made under the 2011 Plan from the date the 2021 Plan became effective. The terms under the 2011 Plan are consistent with those described above for the 2021 Plan.</w:t>
      </w:r>
    </w:p>
    <w:p>
      <w:pPr>
        <w:spacing w:after="0" w:line="162" w:lineRule="exact"/>
        <w:rPr>
          <w:sz w:val="20"/>
          <w:szCs w:val="20"/>
          <w:color w:val="auto"/>
        </w:rPr>
      </w:pPr>
    </w:p>
    <w:p>
      <w:pPr>
        <w:ind w:left="120" w:right="80" w:firstLine="419"/>
        <w:spacing w:after="0" w:line="282" w:lineRule="auto"/>
        <w:rPr>
          <w:sz w:val="20"/>
          <w:szCs w:val="20"/>
          <w:color w:val="auto"/>
        </w:rPr>
      </w:pPr>
      <w:r>
        <w:rPr>
          <w:rFonts w:ascii="Times New Roman" w:cs="Times New Roman" w:eastAsia="Times New Roman" w:hAnsi="Times New Roman"/>
          <w:sz w:val="18"/>
          <w:szCs w:val="18"/>
          <w:color w:val="auto"/>
        </w:rPr>
        <w:t>At December 31, 2023 and 2022, there were 6,033,176 shares and 6,099,584 shares, respectively, of common stock available for issuance under the 2021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2011 and 2021 Plans: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9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3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Intrinsic Value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16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4,819,906</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1,360,308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Forfeited/cancelled</w:t>
            </w:r>
          </w:p>
        </w:tc>
        <w:tc>
          <w:tcPr>
            <w:tcW w:w="1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(829,897 )</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4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(370,127 )</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4,980,190</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62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Vested and exercisable as of December 31,</w:t>
            </w: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2,670,019</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w:t>
            </w: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4,980,190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-607695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-591185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120" w:right="80" w:firstLine="419"/>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values of options granted during the year ended December 31, 2023 and 2022 was $3.78 per share and $9.56 per share, respectively. The aggregate intrinsic value of options exercised was $1.7 million during the year ended December 31, 2023. The aggregate intrinsic value was calculated as the difference between the exercise prices of the underlying options and the estimated fair value of the common stock on the date of exercise.</w:t>
      </w:r>
    </w:p>
    <w:p>
      <w:pPr>
        <w:spacing w:after="0" w:line="180" w:lineRule="exact"/>
        <w:rPr>
          <w:sz w:val="20"/>
          <w:szCs w:val="20"/>
          <w:color w:val="auto"/>
        </w:rPr>
      </w:pPr>
    </w:p>
    <w:p>
      <w:pPr>
        <w:ind w:left="120" w:right="460" w:firstLine="41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stock-based compensation expense of $8.5 million related to options. As of December 31, 2023, the unrecognized stock-based compensation of unvested options was $14.1 million, which is expected to be recognized over a weighted-average period of 1.8 years.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Determination of Fair Value</w:t>
      </w:r>
    </w:p>
    <w:p>
      <w:pPr>
        <w:spacing w:after="0" w:line="119" w:lineRule="exact"/>
        <w:rPr>
          <w:sz w:val="20"/>
          <w:szCs w:val="20"/>
          <w:color w:val="auto"/>
        </w:rPr>
      </w:pPr>
    </w:p>
    <w:p>
      <w:pPr>
        <w:ind w:left="120" w:right="120" w:firstLine="419"/>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452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6.07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6.95</w:t>
            </w:r>
          </w:p>
        </w:tc>
      </w:tr>
      <w:tr>
        <w:trPr>
          <w:trHeight w:val="26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61.80%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64.97%</w:t>
            </w:r>
          </w:p>
        </w:tc>
      </w:tr>
      <w:tr>
        <w:trPr>
          <w:trHeight w:val="25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4.35%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3.97%</w:t>
            </w:r>
          </w:p>
        </w:tc>
      </w:tr>
      <w:tr>
        <w:trPr>
          <w:trHeight w:val="25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spacing w:after="0"/>
              <w:rPr>
                <w:sz w:val="22"/>
                <w:szCs w:val="22"/>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spacing w:after="0"/>
              <w:rPr>
                <w:sz w:val="22"/>
                <w:szCs w:val="22"/>
                <w:color w:val="auto"/>
              </w:rPr>
            </w:pPr>
          </w:p>
        </w:tc>
      </w:tr>
    </w:tbl>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19" w:lineRule="exact"/>
        <w:rPr>
          <w:sz w:val="20"/>
          <w:szCs w:val="20"/>
          <w:color w:val="auto"/>
        </w:rPr>
      </w:pPr>
    </w:p>
    <w:p>
      <w:pPr>
        <w:ind w:left="120" w:right="220" w:firstLine="419"/>
        <w:spacing w:after="0" w:line="258" w:lineRule="auto"/>
        <w:rPr>
          <w:sz w:val="20"/>
          <w:szCs w:val="20"/>
          <w:color w:val="auto"/>
        </w:rPr>
      </w:pPr>
      <w:r>
        <w:rPr>
          <w:rFonts w:ascii="Times New Roman" w:cs="Times New Roman" w:eastAsia="Times New Roman" w:hAnsi="Times New Roman"/>
          <w:sz w:val="18"/>
          <w:szCs w:val="18"/>
          <w:color w:val="auto"/>
        </w:rPr>
        <w:t>The expected term is calculated using the simplified method, which is available if there is insufficient historical data about exercise patterns and post 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119" w:lineRule="exact"/>
        <w:rPr>
          <w:sz w:val="20"/>
          <w:szCs w:val="20"/>
          <w:color w:val="auto"/>
        </w:rPr>
      </w:pPr>
    </w:p>
    <w:p>
      <w:pPr>
        <w:ind w:left="120" w:right="80" w:firstLine="419"/>
        <w:spacing w:after="0" w:line="261" w:lineRule="auto"/>
        <w:rPr>
          <w:sz w:val="20"/>
          <w:szCs w:val="20"/>
          <w:color w:val="auto"/>
        </w:rPr>
      </w:pPr>
      <w:r>
        <w:rPr>
          <w:rFonts w:ascii="Times New Roman" w:cs="Times New Roman" w:eastAsia="Times New Roman" w:hAnsi="Times New Roman"/>
          <w:sz w:val="18"/>
          <w:szCs w:val="18"/>
          <w:color w:val="auto"/>
        </w:rPr>
        <w:t>The Company used an average historical stock price volatility of a peer group of publicly traded companies to be representative of its expected future stock price volatility, as the Company did not have any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19" w:lineRule="exact"/>
        <w:rPr>
          <w:sz w:val="20"/>
          <w:szCs w:val="20"/>
          <w:color w:val="auto"/>
        </w:rPr>
      </w:pPr>
    </w:p>
    <w:p>
      <w:pPr>
        <w:ind w:right="140" w:firstLine="419"/>
        <w:spacing w:after="0" w:line="282" w:lineRule="auto"/>
        <w:rPr>
          <w:sz w:val="20"/>
          <w:szCs w:val="20"/>
          <w:color w:val="auto"/>
        </w:rPr>
      </w:pPr>
      <w:r>
        <w:rPr>
          <w:rFonts w:ascii="Times New Roman" w:cs="Times New Roman" w:eastAsia="Times New Roman" w:hAnsi="Times New Roman"/>
          <w:sz w:val="18"/>
          <w:szCs w:val="18"/>
          <w:color w:val="auto"/>
        </w:rPr>
        <w:t>The risk-free interest rate is based on the implied yield currently available on US Treasury zero-coupon issues with remaining terms equivalent to the expected term of a stock award.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Dividend Rate</w:t>
      </w:r>
    </w:p>
    <w:p>
      <w:pPr>
        <w:spacing w:after="0" w:line="119" w:lineRule="exact"/>
        <w:rPr>
          <w:sz w:val="20"/>
          <w:szCs w:val="20"/>
          <w:color w:val="auto"/>
        </w:rPr>
      </w:pPr>
    </w:p>
    <w:p>
      <w:pPr>
        <w:ind w:right="40" w:firstLine="419"/>
        <w:spacing w:after="0" w:line="282" w:lineRule="auto"/>
        <w:rPr>
          <w:sz w:val="20"/>
          <w:szCs w:val="20"/>
          <w:color w:val="auto"/>
        </w:rPr>
      </w:pPr>
      <w:r>
        <w:rPr>
          <w:rFonts w:ascii="Times New Roman" w:cs="Times New Roman" w:eastAsia="Times New Roman" w:hAnsi="Times New Roman"/>
          <w:sz w:val="18"/>
          <w:szCs w:val="18"/>
          <w:color w:val="auto"/>
        </w:rPr>
        <w:t>The Company has not paid, and does not anticipate paying, any dividends in the near future. Accordingly, the Company has estimated the dividend yield to be 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Restricted Stock Units</w:t>
      </w:r>
    </w:p>
    <w:p>
      <w:pPr>
        <w:spacing w:after="0" w:line="121"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RSUs are share awards that entitle the holder to receive shares of common stock upon vesting. The RSUs cannot be transferred, and the awards are subject to forfeiture if the holder’s employment terminates prior to the release of the vesting restrictions. The RSUs generally vest over a four-year period with straight-line vesting in equal amounts, provided the employee remains continuously employed with the Company. The fair value of the RSUs is equal to the closing price of the Company’s common stock on the grant date.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restricted share award activity:</w:t>
      </w:r>
    </w:p>
    <w:p>
      <w:pPr>
        <w:spacing w:after="0" w:line="22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1,014,123</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2,392,662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(441,759 )</w:t>
            </w: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(243,665 )</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2,721,361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-24765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-8255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60" w:firstLine="41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stock-based compensation of $5.5 million related to RSUs. As of December 31, 2023, the unrecognized stock-based compensation associated with unvested RSUs was $16.2 million, which is expected to be recognized over a weighted-average period of 2.9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Employee Stock Purchase Plan</w:t>
      </w:r>
    </w:p>
    <w:p>
      <w:pPr>
        <w:spacing w:after="0" w:line="121" w:lineRule="exact"/>
        <w:rPr>
          <w:sz w:val="20"/>
          <w:szCs w:val="20"/>
          <w:color w:val="auto"/>
        </w:rPr>
      </w:pPr>
    </w:p>
    <w:p>
      <w:pPr>
        <w:jc w:val="both"/>
        <w:ind w:right="40" w:firstLine="419"/>
        <w:spacing w:after="0" w:line="272" w:lineRule="auto"/>
        <w:rPr>
          <w:sz w:val="20"/>
          <w:szCs w:val="20"/>
          <w:color w:val="auto"/>
        </w:rPr>
      </w:pPr>
      <w:r>
        <w:rPr>
          <w:rFonts w:ascii="Times New Roman" w:cs="Times New Roman" w:eastAsia="Times New Roman" w:hAnsi="Times New Roman"/>
          <w:sz w:val="17"/>
          <w:szCs w:val="17"/>
          <w:color w:val="auto"/>
        </w:rPr>
        <w:t>In July 2021, the board of directors and stockholders adopted and approved the 2021 Employee Stock Purchase Plan (the “ESPP”). 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w:t>
      </w:r>
    </w:p>
    <w:p>
      <w:pPr>
        <w:spacing w:after="0" w:line="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1%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482,981 and 475,074 shares on January 1, 2023 and 2022, respectively.</w:t>
      </w:r>
    </w:p>
    <w:p>
      <w:pPr>
        <w:spacing w:after="0" w:line="186" w:lineRule="exact"/>
        <w:rPr>
          <w:sz w:val="20"/>
          <w:szCs w:val="20"/>
          <w:color w:val="auto"/>
        </w:rPr>
      </w:pPr>
    </w:p>
    <w:p>
      <w:pPr>
        <w:jc w:val="both"/>
        <w:ind w:right="340" w:firstLine="419"/>
        <w:spacing w:after="0" w:line="266" w:lineRule="auto"/>
        <w:rPr>
          <w:sz w:val="20"/>
          <w:szCs w:val="20"/>
          <w:color w:val="auto"/>
        </w:rPr>
      </w:pPr>
      <w:r>
        <w:rPr>
          <w:rFonts w:ascii="Times New Roman" w:cs="Times New Roman" w:eastAsia="Times New Roman" w:hAnsi="Times New Roman"/>
          <w:sz w:val="18"/>
          <w:szCs w:val="18"/>
          <w:color w:val="auto"/>
        </w:rPr>
        <w:t>The Company has two offering periods annually, running for six-months, with the first offering period beginning in the second quarter, and the second offering period beginning in the fourth quarter. The purchase of shares for participants in the ESPP occurs at the conclusion of each offering period.</w:t>
      </w:r>
    </w:p>
    <w:p>
      <w:pPr>
        <w:spacing w:after="0" w:line="176" w:lineRule="exact"/>
        <w:rPr>
          <w:sz w:val="20"/>
          <w:szCs w:val="20"/>
          <w:color w:val="auto"/>
        </w:rPr>
      </w:pPr>
    </w:p>
    <w:p>
      <w:pPr>
        <w:jc w:val="both"/>
        <w:ind w:right="160" w:firstLine="41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participants in the ESPP purchased 220,877 shares for a total of $0.9 million. As of December 31, 2023, the Company has collected payroll withholdings of $0.1 million in the current offering period for the purchase of shares under the ESPP. The Company recorded stock-based compensation expense associated with the ESPP of $0.6 million for the year ended December 31, 2023.</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2023 and 2022, there were 1,488,227 shares and 1,226,123 shares of common stock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1" w:right="419" w:bottom="1440" w:gutter="0" w:footer="0" w:header="0"/>
        </w:sectPr>
      </w:pPr>
    </w:p>
    <w:bookmarkStart w:id="96" w:name="page97"/>
    <w:bookmarkEnd w:id="96"/>
    <w:p>
      <w:pPr>
        <w:ind w:left="120" w:right="320" w:firstLine="419"/>
        <w:spacing w:after="0" w:line="282" w:lineRule="auto"/>
        <w:rPr>
          <w:sz w:val="20"/>
          <w:szCs w:val="20"/>
          <w:color w:val="auto"/>
        </w:rPr>
      </w:pPr>
      <w:r>
        <w:rPr>
          <w:rFonts w:ascii="Times New Roman" w:cs="Times New Roman" w:eastAsia="Times New Roman" w:hAnsi="Times New Roman"/>
          <w:sz w:val="18"/>
          <w:szCs w:val="18"/>
          <w:color w:val="auto"/>
        </w:rPr>
        <w:t>The fair value of shares to be issued under the ESPP was estimated using the Black-Scholes valuation model with the following assumptions for the years ended December 31, 2023 and 2022,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222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0" w:type="dxa"/>
            <w:vAlign w:val="bottom"/>
            <w:tcBorders>
              <w:bottom w:val="single" w:sz="8" w:color="auto"/>
            </w:tcBorders>
            <w:gridSpan w:val="2"/>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- 0.50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- 0.50</w:t>
            </w:r>
          </w:p>
        </w:tc>
        <w:tc>
          <w:tcPr>
            <w:tcW w:w="140" w:type="dxa"/>
            <w:vAlign w:val="bottom"/>
            <w:shd w:val="clear" w:color="auto" w:fill="CFF0FC"/>
          </w:tcPr>
          <w:p>
            <w:pPr>
              <w:spacing w:after="0"/>
              <w:rPr>
                <w:sz w:val="20"/>
                <w:szCs w:val="20"/>
                <w:color w:val="auto"/>
              </w:rPr>
            </w:pPr>
          </w:p>
        </w:tc>
      </w:tr>
      <w:tr>
        <w:trPr>
          <w:trHeight w:val="26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20" w:type="dxa"/>
            <w:vAlign w:val="bottom"/>
            <w:gridSpan w:val="2"/>
          </w:tcPr>
          <w:p>
            <w:pPr>
              <w:jc w:val="center"/>
              <w:ind w:right="15"/>
              <w:spacing w:after="0"/>
              <w:rPr>
                <w:sz w:val="20"/>
                <w:szCs w:val="20"/>
                <w:color w:val="auto"/>
              </w:rPr>
            </w:pPr>
            <w:r>
              <w:rPr>
                <w:rFonts w:ascii="Times New Roman" w:cs="Times New Roman" w:eastAsia="Times New Roman" w:hAnsi="Times New Roman"/>
                <w:sz w:val="18"/>
                <w:szCs w:val="18"/>
                <w:color w:val="auto"/>
              </w:rPr>
              <w:t>66.72% - 197.51%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- 97.38%</w:t>
            </w:r>
          </w:p>
        </w:tc>
        <w:tc>
          <w:tcPr>
            <w:tcW w:w="140" w:type="dxa"/>
            <w:vAlign w:val="bottom"/>
          </w:tcPr>
          <w:p>
            <w:pPr>
              <w:spacing w:after="0"/>
              <w:rPr>
                <w:sz w:val="22"/>
                <w:szCs w:val="22"/>
                <w:color w:val="auto"/>
              </w:rPr>
            </w:pPr>
          </w:p>
        </w:tc>
      </w:tr>
      <w:tr>
        <w:trPr>
          <w:trHeight w:val="25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- 5.40%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- 4.62%</w:t>
            </w:r>
          </w:p>
        </w:tc>
        <w:tc>
          <w:tcPr>
            <w:tcW w:w="140" w:type="dxa"/>
            <w:vAlign w:val="bottom"/>
            <w:shd w:val="clear" w:color="auto" w:fill="CFF0FC"/>
          </w:tcPr>
          <w:p>
            <w:pPr>
              <w:spacing w:after="0"/>
              <w:rPr>
                <w:sz w:val="21"/>
                <w:szCs w:val="21"/>
                <w:color w:val="auto"/>
              </w:rPr>
            </w:pPr>
          </w:p>
        </w:tc>
      </w:tr>
      <w:tr>
        <w:trPr>
          <w:trHeight w:val="25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00" w:type="dxa"/>
            <w:vAlign w:val="bottom"/>
          </w:tcPr>
          <w:p>
            <w:pPr>
              <w:spacing w:after="0"/>
              <w:rPr>
                <w:sz w:val="22"/>
                <w:szCs w:val="22"/>
                <w:color w:val="auto"/>
              </w:rPr>
            </w:pPr>
          </w:p>
        </w:tc>
        <w:tc>
          <w:tcPr>
            <w:tcW w:w="1220" w:type="dxa"/>
            <w:vAlign w:val="bottom"/>
          </w:tcPr>
          <w:p>
            <w:pPr>
              <w:jc w:val="center"/>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spacing w:after="0"/>
              <w:rPr>
                <w:sz w:val="22"/>
                <w:szCs w:val="22"/>
                <w:color w:val="auto"/>
              </w:rPr>
            </w:pPr>
          </w:p>
        </w:tc>
        <w:tc>
          <w:tcPr>
            <w:tcW w:w="12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is a summary of stock-based compensation expense by function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61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FF0FC"/>
          </w:tcPr>
          <w:p>
            <w:pPr>
              <w:spacing w:after="0"/>
              <w:rPr>
                <w:sz w:val="20"/>
                <w:szCs w:val="20"/>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80" w:type="dxa"/>
            <w:vAlign w:val="bottom"/>
          </w:tcPr>
          <w:p>
            <w:pPr>
              <w:spacing w:after="0"/>
              <w:rPr>
                <w:sz w:val="20"/>
                <w:szCs w:val="20"/>
                <w:color w:val="auto"/>
              </w:rPr>
            </w:pPr>
          </w:p>
        </w:tc>
      </w:tr>
      <w:tr>
        <w:trPr>
          <w:trHeight w:val="243"/>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8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b w:val="1"/>
          <w:bCs w:val="1"/>
          <w:color w:val="231F20"/>
        </w:rPr>
        <w:t>Net Loss per Share Attributable to Common Stockholders</w:t>
      </w:r>
    </w:p>
    <w:p>
      <w:pPr>
        <w:spacing w:after="0" w:line="121" w:lineRule="exact"/>
        <w:rPr>
          <w:sz w:val="20"/>
          <w:szCs w:val="20"/>
          <w:color w:val="auto"/>
        </w:rPr>
      </w:pPr>
    </w:p>
    <w:p>
      <w:pPr>
        <w:ind w:left="120" w:right="140" w:firstLine="419"/>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common shares outstanding for the period. As the Company reported a net loss for the years ended December 31, 2023 and 2022, basic net loss per share is the same as diluted net loss per share as the inclusion of potentially dilutive shares would have been antidilutive if included in the calculation.</w:t>
      </w:r>
    </w:p>
    <w:p>
      <w:pPr>
        <w:spacing w:after="0" w:line="176" w:lineRule="exact"/>
        <w:rPr>
          <w:sz w:val="20"/>
          <w:szCs w:val="20"/>
          <w:color w:val="auto"/>
        </w:rPr>
      </w:pPr>
    </w:p>
    <w:p>
      <w:pPr>
        <w:ind w:left="120" w:right="380" w:firstLine="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p>
      <w:pPr>
        <w:spacing w:after="0" w:line="16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16510</wp:posOffset>
            </wp:positionV>
            <wp:extent cx="18859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9" w:lineRule="exact"/>
        <w:rPr>
          <w:sz w:val="20"/>
          <w:szCs w:val="20"/>
          <w:color w:val="auto"/>
        </w:rPr>
      </w:pPr>
    </w:p>
    <w:p>
      <w:pPr>
        <w:ind w:left="7060"/>
        <w:spacing w:after="0"/>
        <w:tabs>
          <w:tab w:leader="none" w:pos="86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5"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(55,547 )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(86,242 )</w:t>
            </w: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w:t>
            </w: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48,628,940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47,849,058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(1.14 )</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2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32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120" w:right="200" w:firstLine="41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 presented because including them would have been antidilutive:</w:t>
      </w:r>
    </w:p>
    <w:p>
      <w:pPr>
        <w:spacing w:after="0" w:line="16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8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4,980,190</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4,819,906</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2,721,361</w:t>
            </w:r>
          </w:p>
        </w:tc>
        <w:tc>
          <w:tcPr>
            <w:tcW w:w="24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1,014,123</w:t>
            </w:r>
          </w:p>
        </w:tc>
        <w:tc>
          <w:tcPr>
            <w:tcW w:w="100" w:type="dxa"/>
            <w:vAlign w:val="bottom"/>
          </w:tcPr>
          <w:p>
            <w:pPr>
              <w:spacing w:after="0"/>
              <w:rPr>
                <w:sz w:val="20"/>
                <w:szCs w:val="20"/>
                <w:color w:val="auto"/>
              </w:rPr>
            </w:pPr>
          </w:p>
        </w:tc>
      </w:tr>
      <w:tr>
        <w:trPr>
          <w:trHeight w:val="276"/>
        </w:trPr>
        <w:tc>
          <w:tcPr>
            <w:tcW w:w="8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7,701,551</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5,834,029</w:t>
            </w:r>
          </w:p>
        </w:tc>
        <w:tc>
          <w:tcPr>
            <w:tcW w:w="100" w:type="dxa"/>
            <w:vAlign w:val="bottom"/>
            <w:shd w:val="clear" w:color="auto" w:fill="CFF0FC"/>
          </w:tcPr>
          <w:p>
            <w:pPr>
              <w:spacing w:after="0"/>
              <w:rPr>
                <w:sz w:val="24"/>
                <w:szCs w:val="24"/>
                <w:color w:val="auto"/>
              </w:rPr>
            </w:pPr>
          </w:p>
        </w:tc>
      </w:tr>
      <w:tr>
        <w:trPr>
          <w:trHeight w:val="849"/>
        </w:trPr>
        <w:tc>
          <w:tcPr>
            <w:tcW w:w="7320" w:type="dxa"/>
            <w:vAlign w:val="bottom"/>
            <w:tcBorders>
              <w:top w:val="single" w:sz="8" w:color="CFF0FC"/>
            </w:tcBorders>
          </w:tcPr>
          <w:p>
            <w:pPr>
              <w:jc w:val="right"/>
              <w:ind w:right="1510"/>
              <w:spacing w:after="0"/>
              <w:rPr>
                <w:sz w:val="20"/>
                <w:szCs w:val="20"/>
                <w:color w:val="auto"/>
              </w:rPr>
            </w:pPr>
            <w:r>
              <w:rPr>
                <w:rFonts w:ascii="Times New Roman" w:cs="Times New Roman" w:eastAsia="Times New Roman" w:hAnsi="Times New Roman"/>
                <w:sz w:val="18"/>
                <w:szCs w:val="18"/>
                <w:color w:val="auto"/>
              </w:rPr>
              <w:t>95</w:t>
            </w:r>
          </w:p>
        </w:tc>
        <w:tc>
          <w:tcPr>
            <w:tcW w:w="10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7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-1070610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-1053465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b w:val="1"/>
          <w:bCs w:val="1"/>
          <w:color w:val="231F20"/>
        </w:rPr>
        <w:t>Income Taxes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The Company’s income tax provision for the years ended December 31, 2023 and 2022, consists of the following (in thousands):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460" w:type="dxa"/>
            <w:vAlign w:val="bottom"/>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Pr>
          <w:p>
            <w:pPr>
              <w:spacing w:after="0"/>
              <w:rPr>
                <w:sz w:val="20"/>
                <w:szCs w:val="20"/>
                <w:color w:val="auto"/>
              </w:rPr>
            </w:pPr>
          </w:p>
        </w:tc>
      </w:tr>
      <w:tr>
        <w:trPr>
          <w:trHeight w:val="243"/>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11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Pr>
          <w:p>
            <w:pPr>
              <w:spacing w:after="0"/>
              <w:rPr>
                <w:sz w:val="20"/>
                <w:szCs w:val="20"/>
                <w:color w:val="auto"/>
              </w:rPr>
            </w:pPr>
          </w:p>
        </w:tc>
      </w:tr>
      <w:tr>
        <w:trPr>
          <w:trHeight w:val="20"/>
        </w:trPr>
        <w:tc>
          <w:tcPr>
            <w:tcW w:w="5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120" w:right="260" w:firstLine="419"/>
        <w:spacing w:after="0" w:line="266" w:lineRule="auto"/>
        <w:rPr>
          <w:sz w:val="20"/>
          <w:szCs w:val="20"/>
          <w:color w:val="auto"/>
        </w:rPr>
      </w:pPr>
      <w:r>
        <w:rPr>
          <w:rFonts w:ascii="Times New Roman" w:cs="Times New Roman" w:eastAsia="Times New Roman" w:hAnsi="Times New Roman"/>
          <w:sz w:val="18"/>
          <w:szCs w:val="18"/>
          <w:color w:val="231F20"/>
        </w:rPr>
        <w:t>The Company's components of income/(loss) before the provision for income taxes includes domestic loss of $55.7 million and $86.0 million for the years ended December 31, 2023 and 2022, respectively. Foreign income/(loss) for the year ended December 31, 2023 was income of $0.2 income, while the Company recorded a net loss of $0.2 million for the year ended December 31, 2022.</w:t>
      </w:r>
    </w:p>
    <w:p>
      <w:pPr>
        <w:spacing w:after="0" w:line="176" w:lineRule="exact"/>
        <w:rPr>
          <w:sz w:val="20"/>
          <w:szCs w:val="20"/>
          <w:color w:val="auto"/>
        </w:rPr>
      </w:pPr>
    </w:p>
    <w:p>
      <w:pPr>
        <w:jc w:val="both"/>
        <w:ind w:left="120" w:right="360" w:firstLine="419"/>
        <w:spacing w:after="0" w:line="266" w:lineRule="auto"/>
        <w:rPr>
          <w:sz w:val="20"/>
          <w:szCs w:val="20"/>
          <w:color w:val="auto"/>
        </w:rPr>
      </w:pPr>
      <w:r>
        <w:rPr>
          <w:rFonts w:ascii="Times New Roman" w:cs="Times New Roman" w:eastAsia="Times New Roman" w:hAnsi="Times New Roman"/>
          <w:sz w:val="18"/>
          <w:szCs w:val="18"/>
          <w:color w:val="231F20"/>
        </w:rPr>
        <w:t>Deferred tax assets and liabilities reflect the net tax effect of temporary differences between carrying value of assets and liabilities for financial reporting purposes and the tax basis of these assets and liabilities as measured by income tax law. The income tax effect of temporary differences that give rise to deferred tax assets and (liabilities) consist of the following (in thousands):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60,753</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52,616</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Disallowed interest expense carryover</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61,673</w:t>
            </w:r>
          </w:p>
        </w:tc>
        <w:tc>
          <w:tcPr>
            <w:tcW w:w="80" w:type="dxa"/>
            <w:vAlign w:val="bottom"/>
          </w:tcPr>
          <w:p>
            <w:pPr>
              <w:spacing w:after="0"/>
              <w:rPr>
                <w:sz w:val="20"/>
                <w:szCs w:val="20"/>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(74,655 )</w:t>
            </w:r>
          </w:p>
        </w:tc>
        <w:tc>
          <w:tcPr>
            <w:tcW w:w="3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(61,251 )</w:t>
            </w:r>
          </w:p>
        </w:tc>
      </w:tr>
      <w:tr>
        <w:trPr>
          <w:trHeight w:val="236"/>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Borders>
              <w:top w:val="single" w:sz="8" w:color="CFF0FC"/>
            </w:tcBorders>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(381 )</w:t>
            </w:r>
          </w:p>
        </w:tc>
        <w:tc>
          <w:tcPr>
            <w:tcW w:w="3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(422 )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(381 )</w:t>
            </w:r>
          </w:p>
        </w:tc>
        <w:tc>
          <w:tcPr>
            <w:tcW w:w="3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(422 )</w:t>
            </w:r>
          </w:p>
        </w:tc>
      </w:tr>
      <w:tr>
        <w:trPr>
          <w:trHeight w:val="27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-976630</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-976630</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-659130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-659130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120" w:right="380" w:firstLine="419"/>
        <w:spacing w:after="0" w:line="266" w:lineRule="auto"/>
        <w:rPr>
          <w:sz w:val="20"/>
          <w:szCs w:val="20"/>
          <w:color w:val="auto"/>
        </w:rPr>
      </w:pPr>
      <w:r>
        <w:rPr>
          <w:rFonts w:ascii="Times New Roman" w:cs="Times New Roman" w:eastAsia="Times New Roman" w:hAnsi="Times New Roman"/>
          <w:sz w:val="18"/>
          <w:szCs w:val="18"/>
          <w:color w:val="231F20"/>
        </w:rPr>
        <w:t>Internal Revenue Code (IRC) Section 382 limits the use of federal net operating losses and income tax credit carryforwards in certain situations where changes occur in stock ownership of a company. If the Company should have an ownership change of more than 50% of the value of the Company’s capital stock, utilization of the carryforwards could be restricted.</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The reconciliation of the statutory federal income tax rate to the Company’s effective tax rate is as follows (in thousands):</w:t>
      </w:r>
    </w:p>
    <w:p>
      <w:pPr>
        <w:spacing w:after="0" w:line="23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1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tcPr>
          <w:p>
            <w:pPr>
              <w:spacing w:after="0"/>
              <w:rPr>
                <w:sz w:val="19"/>
                <w:szCs w:val="19"/>
                <w:color w:val="auto"/>
              </w:rPr>
            </w:pPr>
          </w:p>
        </w:tc>
        <w:tc>
          <w:tcPr>
            <w:tcW w:w="22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8"/>
        </w:trPr>
        <w:tc>
          <w:tcPr>
            <w:tcW w:w="81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spacing w:after="0"/>
              <w:rPr>
                <w:sz w:val="20"/>
                <w:szCs w:val="20"/>
                <w:color w:val="auto"/>
              </w:rPr>
            </w:pPr>
          </w:p>
        </w:tc>
        <w:tc>
          <w:tcPr>
            <w:tcW w:w="22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81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21"/>
                <w:szCs w:val="21"/>
                <w:color w:val="auto"/>
              </w:rPr>
            </w:pPr>
          </w:p>
        </w:tc>
        <w:tc>
          <w:tcPr>
            <w:tcW w:w="22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81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(25 )%</w:t>
            </w:r>
          </w:p>
        </w:tc>
        <w:tc>
          <w:tcPr>
            <w:tcW w:w="22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50"/>
        </w:trPr>
        <w:tc>
          <w:tcPr>
            <w:tcW w:w="72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(3 )%</w:t>
            </w:r>
          </w:p>
        </w:tc>
        <w:tc>
          <w:tcPr>
            <w:tcW w:w="22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6"/>
        </w:trPr>
        <w:tc>
          <w:tcPr>
            <w:tcW w:w="72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Effective tax rate</w:t>
            </w:r>
          </w:p>
        </w:tc>
        <w:tc>
          <w:tcPr>
            <w:tcW w:w="9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2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7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-1859280</wp:posOffset>
            </wp:positionV>
            <wp:extent cx="5700395"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-1550670</wp:posOffset>
            </wp:positionV>
            <wp:extent cx="5700395"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-1242060</wp:posOffset>
            </wp:positionV>
            <wp:extent cx="5700395" cy="163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ind w:right="80" w:firstLine="419"/>
        <w:spacing w:after="0" w:line="254" w:lineRule="auto"/>
        <w:rPr>
          <w:sz w:val="20"/>
          <w:szCs w:val="20"/>
          <w:color w:val="auto"/>
        </w:rPr>
      </w:pPr>
      <w:r>
        <w:rPr>
          <w:rFonts w:ascii="Times New Roman" w:cs="Times New Roman" w:eastAsia="Times New Roman" w:hAnsi="Times New Roman"/>
          <w:sz w:val="18"/>
          <w:szCs w:val="18"/>
          <w:color w:val="231F20"/>
        </w:rPr>
        <w:t>A valuation allowance is recorded when it is more likely than not that some portion of the deferred tax assets will not be realized. As of each reporting date, the Company's management considers all evidence, both positive and negative, that could impact management's view with regard to future realization of deferred tax assets. As of December 31, 2023, a full valuation allowance for deferred tax assets was recorded as management believes it is not more likely than not that all of the deferred tax assets will be realized. At December 31, 2023 and 2022, the Company has a net operating loss carryforward for federal income tax purposes of approximately $235.5 million and $204.6 million, respectively. At December 31, 2023 and 2022, the Company has a net operating loss carryforward for state income tax purposes of approximately $201.6 million and $187.5 million, respectively. Of the Company's federal net operating loss carryovers, $14.8 million was generated before January 1, 2018 and is subject to a 20-year carryforward period. The remaining $220.7 million can be carried forward indefinitely but is subject to an 80% taxable income limitation. The pre-2018 federal and certain state net operating losses will begin to expire in 2031 and 2032, respectively, if not utilized.</w:t>
      </w:r>
    </w:p>
    <w:p>
      <w:pPr>
        <w:spacing w:after="0" w:line="188"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231F20"/>
        </w:rPr>
        <w:t>As of December 31, 2023 and 2022, the Company has federal research and development income tax credit carryforwards of approximately $1.9 million and $1.5 million, respectively. As of December 31, 2023 and 2022, the Company has state research and development income tax credit carryforwards of approximately $1.7 million and $1.5 million, respectively. The Federal income tax credits begin to expire in 2032. The California Research and Development credits can be carried forward indefinitely. The total amount of uncertain tax positions ("UTP") on research and development tax credits is $0.9 million and $0.7 million as of December 31, 2023 and 2022, respectively. The Company does not expect any significant change to the UTP balances in the next 12 months.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As of December 31, 2023 and 2022, the Company has business interest expense carryforwards of $0.8 million and $0.4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Business interest expense can be carried forward indefinitely.</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following table summarizes the activity related to the unrecognized tax benefits (in thousands):</w:t>
      </w: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at the beginning of the year</w:t>
            </w:r>
          </w:p>
        </w:tc>
        <w:tc>
          <w:tcPr>
            <w:tcW w:w="840" w:type="dxa"/>
            <w:vAlign w:val="bottom"/>
            <w:shd w:val="clear" w:color="auto" w:fill="CFF0FC"/>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FF0FC"/>
          </w:tcPr>
          <w:p>
            <w:pPr>
              <w:spacing w:after="0"/>
              <w:rPr>
                <w:sz w:val="20"/>
                <w:szCs w:val="20"/>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8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0"/>
                <w:szCs w:val="20"/>
                <w:color w:val="auto"/>
              </w:rPr>
            </w:pPr>
          </w:p>
        </w:tc>
      </w:tr>
      <w:tr>
        <w:trPr>
          <w:trHeight w:val="252"/>
        </w:trPr>
        <w:tc>
          <w:tcPr>
            <w:tcW w:w="6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8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at the end of the year</w:t>
            </w: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-187960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-187960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400" w:firstLine="419"/>
        <w:spacing w:after="0" w:line="282" w:lineRule="auto"/>
        <w:rPr>
          <w:sz w:val="20"/>
          <w:szCs w:val="20"/>
          <w:color w:val="auto"/>
        </w:rPr>
      </w:pPr>
      <w:r>
        <w:rPr>
          <w:rFonts w:ascii="Times New Roman" w:cs="Times New Roman" w:eastAsia="Times New Roman" w:hAnsi="Times New Roman"/>
          <w:sz w:val="18"/>
          <w:szCs w:val="18"/>
          <w:color w:val="231F20"/>
        </w:rPr>
        <w:t>The Company does not have any material uncertain tax positions as of December 31, 2023 and does not expect any significant change to such balances in the next twelve months.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currently has no federal or state tax examinations in progress nor has it had any federal or state tax examinations since its inception.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Due to the history of net operating losses, the Company’s federal and state tax returns remain open to examination by the tax authorities.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b w:val="1"/>
          <w:bCs w:val="1"/>
          <w:color w:val="231F20"/>
        </w:rPr>
        <w:t>Segment Information</w:t>
      </w:r>
    </w:p>
    <w:p>
      <w:pPr>
        <w:spacing w:after="0" w:line="121"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auto"/>
        </w:rPr>
        <w:t>The Company has two reportable operating segments which are determined on the basis of the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spacing w:after="0" w:line="180" w:lineRule="exact"/>
        <w:rPr>
          <w:sz w:val="20"/>
          <w:szCs w:val="20"/>
          <w:color w:val="auto"/>
        </w:rPr>
      </w:pPr>
    </w:p>
    <w:p>
      <w:pPr>
        <w:ind w:right="140" w:firstLine="419"/>
        <w:spacing w:after="0" w:line="282" w:lineRule="auto"/>
        <w:rPr>
          <w:sz w:val="20"/>
          <w:szCs w:val="20"/>
          <w:color w:val="auto"/>
        </w:rPr>
      </w:pPr>
      <w:r>
        <w:rPr>
          <w:rFonts w:ascii="Times New Roman" w:cs="Times New Roman" w:eastAsia="Times New Roman" w:hAnsi="Times New Roman"/>
          <w:sz w:val="18"/>
          <w:szCs w:val="18"/>
          <w:color w:val="auto"/>
        </w:rPr>
        <w:t>The Surgical Glaucoma segment includes sales of the Company’s OMNI® Surgical System and SION® Surgical Instrument for use in minimally invasive glaucoma procedures. The Dry Eye segment includes sales of the Company’s TearCare® System and related components.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309" w:right="439" w:bottom="1440" w:gutter="0" w:footer="0" w:header="0"/>
        </w:sectPr>
      </w:pPr>
    </w:p>
    <w:bookmarkStart w:id="99" w:name="page100"/>
    <w:bookmarkEnd w:id="99"/>
    <w:p>
      <w:pPr>
        <w:ind w:left="420"/>
        <w:spacing w:after="0"/>
        <w:rPr>
          <w:sz w:val="20"/>
          <w:szCs w:val="20"/>
          <w:color w:val="auto"/>
        </w:rPr>
      </w:pPr>
      <w:r>
        <w:rPr>
          <w:rFonts w:ascii="Times New Roman" w:cs="Times New Roman" w:eastAsia="Times New Roman" w:hAnsi="Times New Roman"/>
          <w:sz w:val="18"/>
          <w:szCs w:val="18"/>
          <w:color w:val="auto"/>
        </w:rPr>
        <w:t>The following table summarizes select operating results information for each reportable segment (dollars in thousands):</w:t>
      </w:r>
    </w:p>
    <w:p>
      <w:pPr>
        <w:spacing w:after="0" w:line="232" w:lineRule="exact"/>
        <w:rPr>
          <w:sz w:val="20"/>
          <w:szCs w:val="20"/>
          <w:color w:val="auto"/>
        </w:rPr>
      </w:pPr>
    </w:p>
    <w:tbl>
      <w:tblPr>
        <w:tblLayout w:type="fixed"/>
        <w:tblInd w:w="158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5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74,310</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65,594</w:t>
            </w:r>
          </w:p>
        </w:tc>
        <w:tc>
          <w:tcPr>
            <w:tcW w:w="8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71,331</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8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57,299</w:t>
            </w:r>
          </w:p>
        </w:tc>
        <w:tc>
          <w:tcPr>
            <w:tcW w:w="8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58,970</w:t>
            </w:r>
          </w:p>
        </w:tc>
        <w:tc>
          <w:tcPr>
            <w:tcW w:w="80" w:type="dxa"/>
            <w:vAlign w:val="bottom"/>
          </w:tcPr>
          <w:p>
            <w:pPr>
              <w:spacing w:after="0"/>
              <w:rPr>
                <w:sz w:val="20"/>
                <w:szCs w:val="20"/>
                <w:color w:val="auto"/>
              </w:rPr>
            </w:pPr>
          </w:p>
        </w:tc>
      </w:tr>
      <w:tr>
        <w:trPr>
          <w:trHeight w:val="241"/>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126,449</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142,924</w:t>
            </w:r>
          </w:p>
        </w:tc>
        <w:tc>
          <w:tcPr>
            <w:tcW w:w="80" w:type="dxa"/>
            <w:vAlign w:val="bottom"/>
            <w:shd w:val="clear" w:color="auto" w:fill="CFF0FC"/>
          </w:tcPr>
          <w:p>
            <w:pPr>
              <w:spacing w:after="0"/>
              <w:rPr>
                <w:sz w:val="20"/>
                <w:szCs w:val="20"/>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(57,274 )</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(83,954 )</w:t>
            </w:r>
          </w:p>
        </w:tc>
      </w:tr>
      <w:tr>
        <w:trPr>
          <w:trHeight w:val="248"/>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(5,408 )</w:t>
            </w: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(4,466 )</w:t>
            </w: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80" w:type="dxa"/>
            <w:vAlign w:val="bottom"/>
          </w:tcPr>
          <w:p>
            <w:pPr>
              <w:spacing w:after="0"/>
              <w:rPr>
                <w:sz w:val="20"/>
                <w:szCs w:val="20"/>
                <w:color w:val="auto"/>
              </w:rPr>
            </w:pPr>
          </w:p>
        </w:tc>
      </w:tr>
      <w:tr>
        <w:trPr>
          <w:trHeight w:val="25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(55,437 )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(86,195 )</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5132070</wp:posOffset>
            </wp:positionH>
            <wp:positionV relativeFrom="paragraph">
              <wp:posOffset>-2228215</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-2228215</wp:posOffset>
            </wp:positionV>
            <wp:extent cx="431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-1602105</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-1602105</wp:posOffset>
            </wp:positionV>
            <wp:extent cx="431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-976630</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-976630</wp:posOffset>
            </wp:positionV>
            <wp:extent cx="431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-25400</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-7620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-25400</wp:posOffset>
            </wp:positionV>
            <wp:extent cx="431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-7620</wp:posOffset>
            </wp:positionV>
            <wp:extent cx="431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200" w:firstLine="419"/>
        <w:spacing w:after="0" w:line="266" w:lineRule="auto"/>
        <w:rPr>
          <w:sz w:val="20"/>
          <w:szCs w:val="20"/>
          <w:color w:val="auto"/>
        </w:rPr>
      </w:pPr>
      <w:r>
        <w:rPr>
          <w:rFonts w:ascii="Times New Roman" w:cs="Times New Roman" w:eastAsia="Times New Roman" w:hAnsi="Times New Roman"/>
          <w:sz w:val="18"/>
          <w:szCs w:val="18"/>
          <w:color w:val="auto"/>
        </w:rPr>
        <w:t>The Company does not allocate any income and expenses beyond revenue and cost of goods sold to the reportable operating segments in its reporting to the CODM. No asset information is provided for reportable operating segments because they are not reviewed by the CODM on segment basis. Substantially all of the Company’s revenue is generated from sales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12. Subsequent Events</w:t>
      </w:r>
    </w:p>
    <w:p>
      <w:pPr>
        <w:spacing w:after="0" w:line="121" w:lineRule="exact"/>
        <w:rPr>
          <w:sz w:val="20"/>
          <w:szCs w:val="20"/>
          <w:color w:val="auto"/>
        </w:rPr>
      </w:pPr>
    </w:p>
    <w:p>
      <w:pPr>
        <w:ind w:right="240" w:firstLine="419"/>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March 12, 2024, the date on which the consolidated financial statements were available for issuance.</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Hercules Capital Loan Agreement</w:t>
      </w:r>
    </w:p>
    <w:p>
      <w:pPr>
        <w:spacing w:after="0" w:line="229"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 xml:space="preserve">In January 2024, the Company entered into the Hercules Credit Agreement with Hercules and certain of its affiliates, which provides for a maximum $65.0 million credit facility. At closing, Hercules funded $35.0 million, which the Company utilized to pay in full the balance due under the MidCap Term Loan. The Hercules Credit Agreement has a maturity date of July 1, 2028, with an interest only period of 30 months, which is extendable to up to 36 months. </w:t>
      </w:r>
      <w:r>
        <w:rPr>
          <w:rFonts w:ascii="Times New Roman" w:cs="Times New Roman" w:eastAsia="Times New Roman" w:hAnsi="Times New Roman"/>
          <w:sz w:val="18"/>
          <w:szCs w:val="18"/>
          <w:color w:val="231F20"/>
        </w:rPr>
        <w:t>The stated floating interest rate under the Hercules Credit Agreement is the greater of 10.35% or the Prime Rate plus 2.35%, with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initial interest rate of 10.85%. See </w:t>
      </w:r>
      <w:r>
        <w:rPr>
          <w:rFonts w:ascii="Times New Roman" w:cs="Times New Roman" w:eastAsia="Times New Roman" w:hAnsi="Times New Roman"/>
          <w:sz w:val="18"/>
          <w:szCs w:val="18"/>
          <w:i w:val="1"/>
          <w:iCs w:val="1"/>
          <w:color w:val="231F20"/>
        </w:rPr>
        <w:t>Note 5, Debt</w:t>
      </w:r>
      <w:r>
        <w:rPr>
          <w:rFonts w:ascii="Times New Roman" w:cs="Times New Roman" w:eastAsia="Times New Roman" w:hAnsi="Times New Roman"/>
          <w:sz w:val="18"/>
          <w:szCs w:val="18"/>
          <w:color w:val="231F20"/>
        </w:rPr>
        <w:t xml:space="preserve"> for additional information.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1093"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principal executive officer and our principal financial and accounting officer, evaluated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and accounting officer, as appropriate to allow timely decisions regarding required disclosure.</w:t>
      </w:r>
    </w:p>
    <w:p>
      <w:pPr>
        <w:spacing w:after="0" w:line="192"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principal financial and accounting officer concluded that as of December 31, 2023,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as defined in Rules 13a-15(f) and 15d-15(f) under the Exchange Act, means a process designed to provide reasonable assurance regarding the reliability of financial reporting and the preparation of financial statements for external purposes in accordance with GAAP. Our management, with the participation and supervision of our principal executive officer and our principal financial and accounting officer, assessed the effectiveness of our internal control over financial reporting.</w:t>
      </w:r>
    </w:p>
    <w:p>
      <w:pPr>
        <w:spacing w:after="0" w:line="183" w:lineRule="exact"/>
        <w:rPr>
          <w:sz w:val="20"/>
          <w:szCs w:val="20"/>
          <w:color w:val="auto"/>
        </w:rPr>
      </w:pPr>
    </w:p>
    <w:p>
      <w:pPr>
        <w:ind w:right="220" w:firstLine="419"/>
        <w:spacing w:after="0" w:line="281" w:lineRule="auto"/>
        <w:rPr>
          <w:sz w:val="20"/>
          <w:szCs w:val="20"/>
          <w:color w:val="auto"/>
        </w:rPr>
      </w:pPr>
      <w:r>
        <w:rPr>
          <w:rFonts w:ascii="Times New Roman" w:cs="Times New Roman" w:eastAsia="Times New Roman" w:hAnsi="Times New Roman"/>
          <w:sz w:val="17"/>
          <w:szCs w:val="17"/>
          <w:color w:val="auto"/>
        </w:rPr>
        <w:t>In making this assessment, our management used the Internal Control – Integrated Framework (2013) as issued by the Committee of Sponsoring Organizations of the Treadway Commission. Based on this assessment as of the end of the period covered by this Annual Report on Form 10-K, our management concluded that our internal control over financial reporting was effective. In making this conclusion, our management concluded that our previously identified material weakness in internal control over financial reporting has been fully remediated, as discussed in more detail below.</w:t>
      </w:r>
    </w:p>
    <w:p>
      <w:pPr>
        <w:spacing w:after="0" w:line="164" w:lineRule="exact"/>
        <w:rPr>
          <w:sz w:val="20"/>
          <w:szCs w:val="20"/>
          <w:color w:val="auto"/>
        </w:rPr>
      </w:pPr>
    </w:p>
    <w:p>
      <w:pPr>
        <w:ind w:right="160" w:firstLine="41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registered public accounting firm due to an exemption established by SEC rules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w:t>
      </w:r>
    </w:p>
    <w:p>
      <w:pPr>
        <w:spacing w:after="0" w:line="121" w:lineRule="exact"/>
        <w:rPr>
          <w:sz w:val="20"/>
          <w:szCs w:val="20"/>
          <w:color w:val="auto"/>
        </w:rPr>
      </w:pPr>
    </w:p>
    <w:p>
      <w:pPr>
        <w:jc w:val="both"/>
        <w:ind w:right="200" w:firstLine="419"/>
        <w:spacing w:after="0" w:line="261" w:lineRule="auto"/>
        <w:rPr>
          <w:sz w:val="20"/>
          <w:szCs w:val="20"/>
          <w:color w:val="auto"/>
        </w:rPr>
      </w:pPr>
      <w:r>
        <w:rPr>
          <w:rFonts w:ascii="Times New Roman" w:cs="Times New Roman" w:eastAsia="Times New Roman" w:hAnsi="Times New Roman"/>
          <w:sz w:val="18"/>
          <w:szCs w:val="18"/>
          <w:color w:val="auto"/>
        </w:rPr>
        <w:t xml:space="preserve">As we disclosed in our Annual Report on Form 10-K for the years ended December 31, 2022 and December 31, 2021, we previously identified a material weakness in our internal control over financial reporting. The material weakness related to a lack of </w:t>
      </w:r>
      <w:r>
        <w:rPr>
          <w:rFonts w:ascii="Times New Roman" w:cs="Times New Roman" w:eastAsia="Times New Roman" w:hAnsi="Times New Roman"/>
          <w:sz w:val="18"/>
          <w:szCs w:val="18"/>
          <w:color w:val="231F20"/>
        </w:rPr>
        <w:t>sufficient full-time accounting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with requisite experience and deep technical accounting knowledge to (i) identify and resolve complex accounting issues under GAAP, and (ii) enable appropriate segregation of duties and reviews over the financial reviews over the financial close and reporting process.</w:t>
      </w:r>
    </w:p>
    <w:p>
      <w:pPr>
        <w:spacing w:after="0" w:line="180" w:lineRule="exact"/>
        <w:rPr>
          <w:sz w:val="20"/>
          <w:szCs w:val="20"/>
          <w:color w:val="auto"/>
        </w:rPr>
      </w:pPr>
    </w:p>
    <w:p>
      <w:pPr>
        <w:ind w:right="160" w:firstLine="419"/>
        <w:spacing w:after="0" w:line="256" w:lineRule="auto"/>
        <w:rPr>
          <w:sz w:val="20"/>
          <w:szCs w:val="20"/>
          <w:color w:val="auto"/>
        </w:rPr>
      </w:pPr>
      <w:r>
        <w:rPr>
          <w:rFonts w:ascii="Times New Roman" w:cs="Times New Roman" w:eastAsia="Times New Roman" w:hAnsi="Times New Roman"/>
          <w:sz w:val="18"/>
          <w:szCs w:val="18"/>
          <w:color w:val="231F20"/>
        </w:rPr>
        <w:t xml:space="preserve">Our management, with the oversight of the Audit Committee of our Board of Directors, designed and implemented measures to remediate the control deficiencies contributing to the material weakness. Throughout </w:t>
      </w:r>
      <w:r>
        <w:rPr>
          <w:rFonts w:ascii="Times New Roman" w:cs="Times New Roman" w:eastAsia="Times New Roman" w:hAnsi="Times New Roman"/>
          <w:sz w:val="18"/>
          <w:szCs w:val="18"/>
          <w:color w:val="000000"/>
        </w:rPr>
        <w:t>the years ended December 31, 2023 and December 31, 2022, we enhanced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technical accounting resources by hiring experienced staff and utilizing additional external experts to ensure sufficient support for timely resolution of complex, non-routine transactions. Based upon these remediation actions, as well as testing of operating effectiveness of those remedial controls over a sustained period of financial reporting cycles, we have concluded that the previously reported material weakness has been fully remediated as of December 31, 2023.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413" w:right="4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auto"/>
        </w:rPr>
        <w:t>Other than the changes made to remediate the material weakness described above, there were no changes in our internal control over financial reporting during the fiscal quarter ended December 31, 2023,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Effectiveness of Controls and Procedures</w:t>
      </w:r>
    </w:p>
    <w:p>
      <w:pPr>
        <w:spacing w:after="0" w:line="12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and not absolute assurance of achieving the desired control objectives. In assessing whether our disclosure controls and procedures were effective at a reasonable level of assurance, management necessarily was required to apply its judgment in evaluating the cost-benefit relationship of possible controls and procedures. There are inherent limitations to the effectiveness of any system of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121" w:lineRule="exact"/>
        <w:rPr>
          <w:sz w:val="20"/>
          <w:szCs w:val="20"/>
          <w:color w:val="auto"/>
        </w:rPr>
      </w:pPr>
    </w:p>
    <w:p>
      <w:pPr>
        <w:ind w:right="260" w:firstLine="41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directors or "officers" (as defined in Rule 16a-1(f) under the Exchange Act) adopted or terminated a "Rule 10b5-1 trading arrangement" or "non-Rule 10b5-1 trading arrangement," as each term is defined in Item 408(a) of SEC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89" w:right="4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Executive Officers and Directors</w:t>
      </w:r>
    </w:p>
    <w:p>
      <w:pPr>
        <w:spacing w:after="0" w:line="119" w:lineRule="exact"/>
        <w:rPr>
          <w:sz w:val="20"/>
          <w:szCs w:val="20"/>
          <w:color w:val="auto"/>
        </w:rPr>
      </w:pPr>
    </w:p>
    <w:p>
      <w:pPr>
        <w:ind w:right="60" w:firstLine="419"/>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Paul Badawi, 49, </w:t>
      </w:r>
      <w:r>
        <w:rPr>
          <w:rFonts w:ascii="Times New Roman" w:cs="Times New Roman" w:eastAsia="Times New Roman" w:hAnsi="Times New Roman"/>
          <w:sz w:val="17"/>
          <w:szCs w:val="17"/>
          <w:color w:val="auto"/>
        </w:rPr>
        <w:t>is a co-founder of our Company and has served as our Chief Executive Officer and a member of our Board since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founded in 2011. Prior to launching Sight Sciences, Mr. Badawi led the U.S. healthcare venture capital practice for 3i Group, a global private equity firm. Mr. Badawi holds an M.B.A. from the University of California, Los Angeles and a B.S. in Biological Sciences from the University of Chicago.</w:t>
      </w:r>
    </w:p>
    <w:p>
      <w:pPr>
        <w:spacing w:after="0" w:line="155" w:lineRule="exact"/>
        <w:rPr>
          <w:sz w:val="20"/>
          <w:szCs w:val="20"/>
          <w:color w:val="auto"/>
        </w:rPr>
      </w:pPr>
    </w:p>
    <w:p>
      <w:pPr>
        <w:jc w:val="both"/>
        <w:ind w:right="260" w:firstLine="419"/>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David Badawi, M.D., 54, </w:t>
      </w:r>
      <w:r>
        <w:rPr>
          <w:rFonts w:ascii="Times New Roman" w:cs="Times New Roman" w:eastAsia="Times New Roman" w:hAnsi="Times New Roman"/>
          <w:sz w:val="17"/>
          <w:szCs w:val="17"/>
          <w:color w:val="auto"/>
        </w:rPr>
        <w:t>is a co-founder of our Company and has served as our Chief Technology Officer and a member of our Board since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was founded in 2011. Since 2012, Dr. Badawi has also served as the president and a practicing ophthalmologist at Central Eye Care Ltd, an ophthalmology practice. Dr. Badawi holds an M.D. from Georgetown University and a B.S. in Microbiology from the University of Maryland.</w:t>
      </w:r>
    </w:p>
    <w:p>
      <w:pPr>
        <w:spacing w:after="0" w:line="155" w:lineRule="exact"/>
        <w:rPr>
          <w:sz w:val="20"/>
          <w:szCs w:val="20"/>
          <w:color w:val="auto"/>
        </w:rPr>
      </w:pPr>
    </w:p>
    <w:p>
      <w:pPr>
        <w:ind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Alison Bauerlein, 42, </w:t>
      </w:r>
      <w:r>
        <w:rPr>
          <w:rFonts w:ascii="Times New Roman" w:cs="Times New Roman" w:eastAsia="Times New Roman" w:hAnsi="Times New Roman"/>
          <w:sz w:val="17"/>
          <w:szCs w:val="17"/>
          <w:color w:val="auto"/>
        </w:rPr>
        <w:t>has served as our Chief Financial Officer and Treasurer since April 2023. Ms. Bauerlein co-founded Inogen, Inc. (“Inogen”)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(Nasdaq: INGN), a publicly traded medical technology company, in 2001, and previously served as Inogen’s Executive Advisor from December 2021 to April 2022, Chief Financial Officer, from 2009 until December 2021, Executive Vice President of Finance from March 2014 until December 2021, Corporate Secretary from 2002 until July 2021, and Corporate Treasurer from 2002 until December 2021. Ms. Bauerlein has served as a member of the board of directors, and chairperson of the audit committee of Pear Therapeutics, Inc., a software-based digital therapeutics company, since December 2021, and as a member of the board of directors and a member of the audit committee of Koya Medical, Inc., a private company, since March 2021. She also served as a member of the board of directors and a member of the audit committee of Gelesis Holdings, Inc, a biotherapeutics company, from January 2022 until October 2023 and as a member of the board of directors and a member of the audit committee of Equinox Ophthalmic, Inc. from June 2020 until March 2023. Ms. Bauerlein received a B.A. in economics/mathematics with high honors from the University of California, Santa Barbara.</w:t>
      </w:r>
    </w:p>
    <w:p>
      <w:pPr>
        <w:spacing w:after="0" w:line="173"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Sam Park, 63, </w:t>
      </w:r>
      <w:r>
        <w:rPr>
          <w:rFonts w:ascii="Times New Roman" w:cs="Times New Roman" w:eastAsia="Times New Roman" w:hAnsi="Times New Roman"/>
          <w:sz w:val="18"/>
          <w:szCs w:val="18"/>
          <w:color w:val="auto"/>
        </w:rPr>
        <w:t>has served as our Chief Operating Officer since March 2020. Previously, Mr. Park served as VP of R&amp;D and Operations at SurgRx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he led the development of EnSeal Vessel Sealing System which was purchased by Ethicon-Endo Surgery of J&amp;J. From March 2016 to May 2019, Mr. Park served as the founder and Chief Executive Officer of Park Medical, a medical device company. Mr. Park has held various other executive and technical positions at Spineview (Expending Innovation), Arthrocare (acquired by Smith and Nephew), CardioGenesis, and Origin Medsystems (acquired by Eli Lily, later Guidant). Mr. Park holds a B.S. in Mechanical Engineering from the University of California, Irvine.</w:t>
      </w:r>
    </w:p>
    <w:p>
      <w:pPr>
        <w:spacing w:after="0" w:line="183" w:lineRule="exact"/>
        <w:rPr>
          <w:sz w:val="20"/>
          <w:szCs w:val="20"/>
          <w:color w:val="auto"/>
        </w:rPr>
      </w:pPr>
    </w:p>
    <w:p>
      <w:pPr>
        <w:ind w:right="140" w:firstLine="4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Matthew Link, 49, </w:t>
      </w:r>
      <w:r>
        <w:rPr>
          <w:rFonts w:ascii="Times New Roman" w:cs="Times New Roman" w:eastAsia="Times New Roman" w:hAnsi="Times New Roman"/>
          <w:sz w:val="18"/>
          <w:szCs w:val="18"/>
          <w:color w:val="auto"/>
        </w:rPr>
        <w:t>has served as our Chief Commercial Officer since September 2023. Mr. Link also serves as Managing Partner at Orion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Advisors, LLC (“Orion”), a consulting services provider from 2021 to present. Before Orion, Mr. Link served in increasing leadership positions at NuVasive Inc. (“NuVasive”), a global leader in surgical implants and enabling technology for spine surgery and orthopedics, from 2006 to 2021. Mr. Link joined NuVasive as an Area Business Manager and rose to the level of President where his responsibilities included oversight of global business units in spine, neurophysiology and orthopedics. Prior to NuVasive, Mr. Link held commercial leadership roles at Depuy Orthopedics and Depuy Spine. He currently serves as a member of the board of directors of and a member of the compensation committee and nominating committee of Fibrobiologics (Nasdaq: FBLG), and as a member of the board of directors of Springbok Analytics, Intravu, Cavalier Futures, and DinamicOR MAH Partners, and the Coulter Translational Research Endowment at the University of Virginia. Mr. Link received a BSEd in Physical Education and Sports Medicine from the University of Virginia.</w:t>
      </w:r>
    </w:p>
    <w:p>
      <w:pPr>
        <w:spacing w:after="0" w:line="188"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Jeremy Hayden, 54, </w:t>
      </w:r>
      <w:r>
        <w:rPr>
          <w:rFonts w:ascii="Times New Roman" w:cs="Times New Roman" w:eastAsia="Times New Roman" w:hAnsi="Times New Roman"/>
          <w:sz w:val="18"/>
          <w:szCs w:val="18"/>
          <w:color w:val="auto"/>
        </w:rPr>
        <w:t>has served as our Chief Legal Officer since April 2020. From August 2017 to April 2020, Mr. Hayden served as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of Endologix, Inc. Prior to that, Mr. Hayden served as General Counsel and Vice President, Business Development at Cytori Therapeutics, Inc. from July 2015 to August 2017, and from May 2012 to July 2015 he served as Assistant General Counsel at Volcano Corporation, a publicly traded medical device company that was acquired by Royal Phillips in 2015. Mr. Hayden holds a J.D. from the University of Michigan Law School and an A.B. in Politics from Princeton University.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089" w:right="439" w:bottom="1440" w:gutter="0" w:footer="0" w:header="0"/>
        </w:sectPr>
      </w:pPr>
    </w:p>
    <w:bookmarkStart w:id="103" w:name="page104"/>
    <w:bookmarkEnd w:id="103"/>
    <w:p>
      <w:pPr>
        <w:ind w:right="300" w:firstLine="41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Staffan Encrantz, 72, </w:t>
      </w:r>
      <w:r>
        <w:rPr>
          <w:rFonts w:ascii="Times New Roman" w:cs="Times New Roman" w:eastAsia="Times New Roman" w:hAnsi="Times New Roman"/>
          <w:sz w:val="17"/>
          <w:szCs w:val="17"/>
          <w:color w:val="auto"/>
        </w:rPr>
        <w:t>has served as a member of our Board since 2017. Mr. Encrantz is the President of Allegro Investment Inc., the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manager of Allegro Investment Fund, L.P., and has served as such since 1997. Mr. Encrantz holds a law degree from Uppsala University, Sweden.</w:t>
      </w:r>
    </w:p>
    <w:p>
      <w:pPr>
        <w:spacing w:after="0" w:line="135" w:lineRule="exact"/>
        <w:rPr>
          <w:sz w:val="20"/>
          <w:szCs w:val="20"/>
          <w:color w:val="auto"/>
        </w:rPr>
      </w:pPr>
    </w:p>
    <w:p>
      <w:pPr>
        <w:ind w:right="60" w:firstLine="4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Brenda Becker, 64, </w:t>
      </w:r>
      <w:r>
        <w:rPr>
          <w:rFonts w:ascii="Times New Roman" w:cs="Times New Roman" w:eastAsia="Times New Roman" w:hAnsi="Times New Roman"/>
          <w:sz w:val="18"/>
          <w:szCs w:val="18"/>
          <w:color w:val="auto"/>
        </w:rPr>
        <w:t>has served as a member of our Board since March 2022. Since 2007, Ms. Becker has served as Senior Vice President,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Affairs of Boston Scientific. Prior to joining Boston Scientific, Ms. Becker served in the George W. Bush administration under former Vice President Dick Cheney as Assistant to the Vice President for Legislative Affairs. In that capacity, she advised the Vice President and senior White House staff on legislative strategy from 2004 to 2007. In addition, from 2001 to 2004, Ms. Becker served as the Assistant Secretary for Legislative and Intergovernmental Affairs at the U.S. Department of Commerce where she provided counsel to the Secretary of Commerce and other senior commerce officials. Ms. Becker holds a B.A. in Political Science and Public Administration from Michigan State University and an M.B.A. from Central Michigan University.</w:t>
      </w:r>
    </w:p>
    <w:p>
      <w:pPr>
        <w:spacing w:after="0" w:line="183"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Tamara Fountain, M.D., 61, </w:t>
      </w:r>
      <w:r>
        <w:rPr>
          <w:rFonts w:ascii="Times New Roman" w:cs="Times New Roman" w:eastAsia="Times New Roman" w:hAnsi="Times New Roman"/>
          <w:sz w:val="18"/>
          <w:szCs w:val="18"/>
          <w:color w:val="auto"/>
        </w:rPr>
        <w:t>has served as a member of our Board since July 2022. Dr. Fountain served as a member of the board of directors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2020 to January 2023 and as the 2021 President of the American Academy of Ophthalmology and was named to the board of directors of the American Board of Ophthalmology in January 2022. She has also served as a member of the board of directors and a member of the audit committee of RxSight (Nasdaq: RXST) since January 2022. She has been on faculty at Rush University Medical Center in Chicago since May 1998 where she is professor of ophthalmology and section chair emeritus of ophthalmic plastic and reconstructive surgery. She has maintained a private practice, Ophthalmology Partners, Ltd., on Chicago’s North Shore since December 2000. Dr. Fountain was chair for Alumni Fund Giving at Harvard Medical School from January 2016 to June 2019 and served as President of the American Society of Ophthalmic Plastic and Reconstructive Surgery in 2018 and as a member of the board of directors from January 2016 to January 2020. She served 15 years on the board of directors of Ophthalmic Mutual Insurance Company (“OMIC”). At the end of her term, Dr. Fountain was elected OMIC’s first woman chair of its board of directors and chair of its audit committee, serving January 2014 to December 2015. Dr. Fountain was President of the Illinois Society of Eye Physicians and Surgeons from January 2002 to December 2005. Dr. Fountain received her B.A. in Human Biology from Stanford University, her M.D. from Harvard Medical School, and in 1992, completed her residency in ophthalmology at Johns Hopkins Hospital’s Wilmer Eye Institute.</w:t>
      </w:r>
    </w:p>
    <w:p>
      <w:pPr>
        <w:spacing w:after="0" w:line="190"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Erica Rogers, 60, </w:t>
      </w:r>
      <w:r>
        <w:rPr>
          <w:rFonts w:ascii="Times New Roman" w:cs="Times New Roman" w:eastAsia="Times New Roman" w:hAnsi="Times New Roman"/>
          <w:sz w:val="18"/>
          <w:szCs w:val="18"/>
          <w:color w:val="auto"/>
        </w:rPr>
        <w:t>has served as a member of our Board since November 2019. From October 2012 to November 2023, Ms. Rogers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Executive Officer and a member of the board of Silk Road Medical (Nasdaq: SILK), a publicly traded medical device company. Ms. Rogers is also a director of Histosonics, a privately held medical device company, and an advisor to Venture Investors. Ms. Rogers also served as a member of the board of directors and member of the compensation committee and audit committee of Lucira Health, Inc., a publicly traded diagnostics company acquired by Pfizer Inc. in 2023, from August 2020 to September 2022. Ms. Rogers holds a B.S. in Zoology from San Diego State University.</w:t>
      </w:r>
    </w:p>
    <w:p>
      <w:pPr>
        <w:spacing w:after="0" w:line="183" w:lineRule="exact"/>
        <w:rPr>
          <w:sz w:val="20"/>
          <w:szCs w:val="20"/>
          <w:color w:val="auto"/>
        </w:rPr>
      </w:pPr>
    </w:p>
    <w:p>
      <w:pPr>
        <w:ind w:right="40" w:firstLine="41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Donald Zurbay, 56, </w:t>
      </w:r>
      <w:r>
        <w:rPr>
          <w:rFonts w:ascii="Times New Roman" w:cs="Times New Roman" w:eastAsia="Times New Roman" w:hAnsi="Times New Roman"/>
          <w:sz w:val="17"/>
          <w:szCs w:val="17"/>
          <w:color w:val="auto"/>
        </w:rPr>
        <w:t>has served as a member of our Board since July 2020. Since October 2022, Mr. Zurbay has served as President and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Patterson Companies, Inc. (Nasdaq: PDCO), a publicly traded global medical device company. From June 2018 to October 2022, Mr. Zurbay served as the Chief Financial Officer of Patterson Companies. From March 2004 to February 2017, Mr. Zurbay held various leadership positions at St. Jude Medical, Inc., where he most recently served as Vice President and Chief Financial Officer from August 2012 to January 2017. Mr. Zurbay currently serves as a member of the board and member of the audit committee and compensation committee of Silk Road Medical (NASDAQ: SILK) and served as a member of the board and member of the audit committee of Avedro, Inc., a publicly traded medical technology company acquired by Glaukos Corporation in 2019, from July 2017 to November 2019. Mr. Zurbay holds a B.S. in Business Accounting from the University of Minnesota.</w:t>
      </w:r>
    </w:p>
    <w:p>
      <w:pPr>
        <w:spacing w:after="0" w:line="171"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Catherine Mazzacco, 59, </w:t>
      </w:r>
      <w:r>
        <w:rPr>
          <w:rFonts w:ascii="Times New Roman" w:cs="Times New Roman" w:eastAsia="Times New Roman" w:hAnsi="Times New Roman"/>
          <w:sz w:val="18"/>
          <w:szCs w:val="18"/>
          <w:color w:val="auto"/>
        </w:rPr>
        <w:t>has served as a member of our Board since June 2023. Ms. Mazzacco was Chief Executive Officer and President of LEO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 a privately owned global pharmaceutical company, and a member of its board of directors, from August 2019 to November 2021. Prior to this role, Ms. Mazzacco was Senior Vice President, Global Commercial Operations, Life Sciences Division at GE HealthCare Technologies, Inc. (Nasdaq: GEHC), a leading publicly traded global medical technology company, from February 2018 to May 2019. Before joining GE HealthCare, Ms. Mazzacco spent over 25 years at Abbott Laboratories (NYSE: ABT), a multinational publicly traded healthcare company, where she held several global senior operational and strategic leadership roles, including, most recently, Vice President, Global Commercial Operations, Abbott Vision Division, from 2011 to 2017. Ms. Mazzacco has served as a member of the board of directors and a member of the nominating and governance committee of Krystal Biotech, Inc. (Nasdaq: KRYS), a</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91" w:right="419" w:bottom="1440" w:gutter="0" w:footer="0" w:header="0"/>
        </w:sectPr>
      </w:pPr>
    </w:p>
    <w:bookmarkStart w:id="104" w:name="page105"/>
    <w:bookmarkEnd w:id="104"/>
    <w:p>
      <w:pPr>
        <w:spacing w:after="0" w:line="266" w:lineRule="auto"/>
        <w:rPr>
          <w:sz w:val="20"/>
          <w:szCs w:val="20"/>
          <w:color w:val="auto"/>
        </w:rPr>
      </w:pPr>
      <w:r>
        <w:rPr>
          <w:rFonts w:ascii="Times New Roman" w:cs="Times New Roman" w:eastAsia="Times New Roman" w:hAnsi="Times New Roman"/>
          <w:sz w:val="18"/>
          <w:szCs w:val="18"/>
          <w:color w:val="auto"/>
        </w:rPr>
        <w:t>publicly traded gene therapy biotechnology company, since March 2023. Ms. Mazzacco has served as a member of the supervisory board and remuneration and nomination committee of Servier SAS, a privately owned global pharmaceutical company, since February 2022. Ms. Mazzacco holds a Bachelor of Science in Engineering, Option Biotechnology from the University of Compiègne in France.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or the Code of Business Conduct and Ethics, which applies to our directors, officers and employees, including our principal executive officer, principal financial officer, principal accounting officer or controller, and persons performing similar functions. Our Code of Business Conduct and Ethics is available on our website at </w:t>
      </w:r>
      <w:r>
        <w:rPr>
          <w:rFonts w:ascii="Times New Roman" w:cs="Times New Roman" w:eastAsia="Times New Roman" w:hAnsi="Times New Roman"/>
          <w:sz w:val="18"/>
          <w:szCs w:val="18"/>
          <w:i w:val="1"/>
          <w:iCs w:val="1"/>
          <w:u w:val="single" w:color="auto"/>
          <w:color w:val="auto"/>
        </w:rPr>
        <w:t>www.sightsciences.com</w:t>
      </w:r>
      <w:r>
        <w:rPr>
          <w:rFonts w:ascii="Times New Roman" w:cs="Times New Roman" w:eastAsia="Times New Roman" w:hAnsi="Times New Roman"/>
          <w:sz w:val="18"/>
          <w:szCs w:val="18"/>
          <w:color w:val="auto"/>
        </w:rPr>
        <w:t xml:space="preserve"> in the “Corporate Governance” section of the “Investors” page. In addition, we intend to post on our website all disclosures that are required by law concerning any amendments to, or waivers from, any provision of our Code of Business Conduct and Ethics. The inclusion of our website address in this Annual Report on Form 10-K does not include or incorporate by reference the information on the website into this Annual Report on Form 10-K.</w:t>
      </w:r>
    </w:p>
    <w:p>
      <w:pPr>
        <w:spacing w:after="0" w:line="187" w:lineRule="exact"/>
        <w:rPr>
          <w:sz w:val="20"/>
          <w:szCs w:val="20"/>
          <w:color w:val="auto"/>
        </w:rPr>
      </w:pPr>
    </w:p>
    <w:p>
      <w:pPr>
        <w:ind w:right="160" w:firstLine="419"/>
        <w:spacing w:after="0" w:line="312" w:lineRule="auto"/>
        <w:rPr>
          <w:sz w:val="20"/>
          <w:szCs w:val="20"/>
          <w:color w:val="auto"/>
        </w:rPr>
      </w:pPr>
      <w:r>
        <w:rPr>
          <w:rFonts w:ascii="Times New Roman" w:cs="Times New Roman" w:eastAsia="Times New Roman" w:hAnsi="Times New Roman"/>
          <w:sz w:val="17"/>
          <w:szCs w:val="17"/>
          <w:color w:val="auto"/>
        </w:rPr>
        <w:t>The remaining information required by this item will be included in our definitive proxy statement for our 2024 Annual Meeting of Stockholders ("the 2024 Proxy Statement"), to be filed with the SEC no later than 120 days after December 31, 2023, and is incorporated herein by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093" w:right="439" w:bottom="1440" w:gutter="0" w:footer="0" w:header="0"/>
        </w:sectPr>
      </w:pPr>
    </w:p>
    <w:bookmarkStart w:id="105" w:name="page106"/>
    <w:bookmarkEnd w:id="105"/>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40" w:hanging="462"/>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17" w:lineRule="exact"/>
        <w:rPr>
          <w:sz w:val="20"/>
          <w:szCs w:val="20"/>
          <w:color w:val="auto"/>
        </w:rPr>
      </w:pPr>
    </w:p>
    <w:p>
      <w:pPr>
        <w:ind w:left="1500" w:hanging="462"/>
        <w:spacing w:after="0"/>
        <w:tabs>
          <w:tab w:leader="none" w:pos="15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1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not applicable or the amounts are immaterial or the required information is presented in the financial statements and notes thereto.</w:t>
      </w:r>
    </w:p>
    <w:p>
      <w:pPr>
        <w:spacing w:after="0" w:line="53" w:lineRule="exact"/>
        <w:rPr>
          <w:rFonts w:ascii="Times New Roman" w:cs="Times New Roman" w:eastAsia="Times New Roman" w:hAnsi="Times New Roman"/>
          <w:sz w:val="18"/>
          <w:szCs w:val="18"/>
          <w:color w:val="auto"/>
        </w:rPr>
      </w:pPr>
    </w:p>
    <w:p>
      <w:pPr>
        <w:ind w:left="1500" w:hanging="462"/>
        <w:spacing w:after="0"/>
        <w:tabs>
          <w:tab w:leader="none" w:pos="15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Exhibit Index submitted as a separate section of this report</w:t>
      </w:r>
    </w:p>
    <w:p>
      <w:pPr>
        <w:spacing w:after="0" w:line="11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 submitted as a separate section of this report</w:t>
      </w:r>
    </w:p>
    <w:p>
      <w:pPr>
        <w:spacing w:after="0" w:line="11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089" w:right="12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19"/>
            <w:vMerge w:val="restart"/>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94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19"/>
            <w:vMerge w:val="continue"/>
          </w:tcPr>
          <w:p>
            <w:pPr>
              <w:spacing w:after="0"/>
              <w:rPr>
                <w:sz w:val="12"/>
                <w:szCs w:val="12"/>
                <w:color w:val="auto"/>
              </w:rPr>
            </w:pPr>
          </w:p>
        </w:tc>
        <w:tc>
          <w:tcPr>
            <w:tcW w:w="960" w:type="dxa"/>
            <w:vAlign w:val="bottom"/>
            <w:vMerge w:val="restart"/>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7"/>
        </w:trPr>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1"/>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4940" w:type="dxa"/>
            <w:vAlign w:val="bottom"/>
            <w:gridSpan w:val="26"/>
          </w:tcPr>
          <w:p>
            <w:pPr>
              <w:spacing w:after="0" w:line="169"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Restated Certificate of Incorporation of Sight Sciences, Inc.</w:t>
              </w:r>
            </w:hyperlink>
          </w:p>
        </w:tc>
        <w:tc>
          <w:tcPr>
            <w:tcW w:w="96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07/19/2021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Amended and Restated Bylaws of Sight Sciences, Inc.</w:t>
              </w:r>
            </w:hyperlink>
          </w:p>
        </w:tc>
        <w:tc>
          <w:tcPr>
            <w:tcW w:w="9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07/19/2021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Third Amended and Restated Investors' Rights Agreement, dated</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November 23, 2020, as amended</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Specimen Stock Certificate evidencing the shares of common stock</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9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Description of Capital Stock</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Form of Warrant</w:t>
              </w:r>
            </w:hyperlink>
          </w:p>
        </w:tc>
        <w:tc>
          <w:tcPr>
            <w:tcW w:w="9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1/23/2024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940" w:type="dxa"/>
            <w:vAlign w:val="bottom"/>
            <w:gridSpan w:val="26"/>
          </w:tcPr>
          <w:p>
            <w:pPr>
              <w:spacing w:after="0"/>
              <w:rPr>
                <w:rFonts w:ascii="Times New Roman" w:cs="Times New Roman" w:eastAsia="Times New Roman" w:hAnsi="Times New Roman"/>
                <w:sz w:val="18"/>
                <w:szCs w:val="18"/>
                <w:color w:val="0000FF"/>
                <w:w w:val="97"/>
              </w:rPr>
            </w:pPr>
            <w:hyperlink r:id="rId264">
              <w:r>
                <w:rPr>
                  <w:rFonts w:ascii="Times New Roman" w:cs="Times New Roman" w:eastAsia="Times New Roman" w:hAnsi="Times New Roman"/>
                  <w:sz w:val="18"/>
                  <w:szCs w:val="18"/>
                  <w:color w:val="0000FF"/>
                  <w:w w:val="97"/>
                </w:rPr>
                <w:t>Sight Sciences, Inc. 2011 Stock Incentive Plan, as amended, and U.K.</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6/23/2021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sub-plan and forms of agreements thereunder</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Sight Sciences, Inc. 2021 Incentive Award Plan and form of option</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agreements thereunder</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Sight Sciences, Inc. 2021 Incentive Award Plan Sub-Plan for UK</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05/10/2022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Employees and Forms of Agreements thereunder</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940" w:type="dxa"/>
            <w:vAlign w:val="bottom"/>
            <w:gridSpan w:val="26"/>
          </w:tcPr>
          <w:p>
            <w:pPr>
              <w:spacing w:after="0"/>
              <w:rPr>
                <w:rFonts w:ascii="Times New Roman" w:cs="Times New Roman" w:eastAsia="Times New Roman" w:hAnsi="Times New Roman"/>
                <w:sz w:val="18"/>
                <w:szCs w:val="18"/>
                <w:color w:val="0000FF"/>
                <w:w w:val="98"/>
              </w:rPr>
            </w:pPr>
            <w:hyperlink r:id="rId267">
              <w:r>
                <w:rPr>
                  <w:rFonts w:ascii="Times New Roman" w:cs="Times New Roman" w:eastAsia="Times New Roman" w:hAnsi="Times New Roman"/>
                  <w:sz w:val="18"/>
                  <w:szCs w:val="18"/>
                  <w:color w:val="0000FF"/>
                  <w:w w:val="98"/>
                </w:rPr>
                <w:t>Sight Sciences, Inc. Non-Employee Director Compensation Program</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Sight Sciences, Inc. 2021 Employee Stock Purchase Plan</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Form of Indemnification Agreement for Directors and Officers</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Employment Agreement between Sight Sciences, Inc. and Paul</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Badawi, dated July 7, 2021</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940" w:type="dxa"/>
            <w:vAlign w:val="bottom"/>
            <w:gridSpan w:val="26"/>
          </w:tcPr>
          <w:p>
            <w:pPr>
              <w:spacing w:after="0"/>
              <w:rPr>
                <w:rFonts w:ascii="Times New Roman" w:cs="Times New Roman" w:eastAsia="Times New Roman" w:hAnsi="Times New Roman"/>
                <w:sz w:val="18"/>
                <w:szCs w:val="18"/>
                <w:color w:val="0000FF"/>
                <w:w w:val="98"/>
              </w:rPr>
            </w:pPr>
            <w:hyperlink r:id="rId271">
              <w:r>
                <w:rPr>
                  <w:rFonts w:ascii="Times New Roman" w:cs="Times New Roman" w:eastAsia="Times New Roman" w:hAnsi="Times New Roman"/>
                  <w:sz w:val="18"/>
                  <w:szCs w:val="18"/>
                  <w:color w:val="0000FF"/>
                  <w:w w:val="98"/>
                </w:rPr>
                <w:t>Employment Agreement between Sight Sciences, Inc. and Sam Park,</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dated July 7, 2021</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Employment Agreement between Sight Sciences, Inc. and David</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07/08/2021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Badawi, M.D., dated July 7, 2021</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Employment Agreement between Sight Sciences, Inc. and Jeremy</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Hayden, dated July 7, 2021</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Employment Agreement between Sight Sciences, Inc. and Alison</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5/8/2023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Bauerlein, dated April 3, 2023</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Employment Agreement between Sight Sciences, Inc. and Matthew</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11/07/2023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Link, dated September 11, 2023</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900" w:type="dxa"/>
            <w:vAlign w:val="bottom"/>
            <w:tcBorders>
              <w:right w:val="single" w:sz="8" w:color="0000EE"/>
            </w:tcBorders>
            <w:gridSpan w:val="4"/>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Multi-Tenant Space Lease between Sight Sciences and Deerfield</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06/23/2021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Campbell, LLC, dated February 5, 2021.</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9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First Amendment to Multi-Tenant Space Lease between Sight</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7"/>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Sciences and Deerfield Campbell, LLC, dated December 15, 2023</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7"/>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940" w:type="dxa"/>
            <w:vAlign w:val="bottom"/>
            <w:gridSpan w:val="26"/>
          </w:tcPr>
          <w:p>
            <w:pPr>
              <w:spacing w:after="0"/>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Amended and Restated Credit and Security Agreement (Term Loan)</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06/23/2021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7"/>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between Sight Sciences, Inc. and Midcap Financial Trust, dated</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7"/>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November 23, 2020</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First Amendment to the Amended and Restated Credit and Security</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760" w:type="dxa"/>
            <w:vAlign w:val="bottom"/>
            <w:tcBorders>
              <w:right w:val="single" w:sz="8" w:color="0000FF"/>
            </w:tcBorders>
            <w:gridSpan w:val="10"/>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Agreement (Term Loan) between Sight Sciences, Inc. and Midcap</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760" w:type="dxa"/>
            <w:vAlign w:val="bottom"/>
            <w:tcBorders>
              <w:right w:val="single" w:sz="8" w:color="0000FF"/>
            </w:tcBorders>
            <w:gridSpan w:val="10"/>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Financial Trust, dated October 5, 2021</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EE"/>
            </w:tcBorders>
            <w:gridSpan w:val="10"/>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940" w:type="dxa"/>
            <w:vAlign w:val="bottom"/>
            <w:gridSpan w:val="26"/>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Second Amendment to the Amended and Restated Credit and</w:t>
              </w:r>
            </w:hyperlink>
          </w:p>
        </w:tc>
        <w:tc>
          <w:tcPr>
            <w:tcW w:w="9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03/24/2022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20" w:type="dxa"/>
            <w:vAlign w:val="bottom"/>
            <w:gridSpan w:val="14"/>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Security Agreement (Term Loan) between Sight Sciences, Inc. and</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20" w:type="dxa"/>
            <w:vAlign w:val="bottom"/>
            <w:gridSpan w:val="14"/>
            <w:shd w:val="clear" w:color="auto" w:fill="0000FF"/>
          </w:tcPr>
          <w:p>
            <w:pPr>
              <w:spacing w:after="0" w:line="20" w:lineRule="exact"/>
              <w:rPr>
                <w:sz w:val="1"/>
                <w:szCs w:val="1"/>
                <w:color w:val="auto"/>
              </w:rPr>
            </w:pPr>
          </w:p>
        </w:tc>
        <w:tc>
          <w:tcPr>
            <w:tcW w:w="1220" w:type="dxa"/>
            <w:vAlign w:val="bottom"/>
            <w:gridSpan w:val="10"/>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26"/>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Midcap Financial Trust, dated November 15, 2021</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40" w:type="dxa"/>
            <w:vAlign w:val="bottom"/>
          </w:tcPr>
          <w:p>
            <w:pPr>
              <w:spacing w:after="0"/>
              <w:rPr>
                <w:sz w:val="24"/>
                <w:szCs w:val="24"/>
                <w:color w:val="auto"/>
              </w:rPr>
            </w:pPr>
          </w:p>
        </w:tc>
        <w:tc>
          <w:tcPr>
            <w:tcW w:w="3620" w:type="dxa"/>
            <w:vAlign w:val="bottom"/>
            <w:tcBorders>
              <w:top w:val="single" w:sz="8" w:color="0000FF"/>
            </w:tcBorders>
            <w:gridSpan w:val="14"/>
          </w:tcPr>
          <w:p>
            <w:pPr>
              <w:spacing w:after="0"/>
              <w:rPr>
                <w:sz w:val="24"/>
                <w:szCs w:val="24"/>
                <w:color w:val="auto"/>
              </w:rPr>
            </w:pPr>
          </w:p>
        </w:tc>
        <w:tc>
          <w:tcPr>
            <w:tcW w:w="11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000" w:type="dxa"/>
            <w:vAlign w:val="bottom"/>
            <w:gridSpan w:val="21"/>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Third Amendment to the Amended and Restated Credit and Security</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Agreement (Term Loan) between Sight Sciences, Inc. and Midcap</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Financial Trust, dated December 28, 2022</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000" w:type="dxa"/>
            <w:vAlign w:val="bottom"/>
            <w:gridSpan w:val="21"/>
          </w:tcPr>
          <w:p>
            <w:pPr>
              <w:spacing w:after="0"/>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Fourth Amendment to the Amended and Restated Credit and Security</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Agreement (Term Loan) between Sight Sciences, Inc. and MidCap</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Financial Trust, dated November 6, 2023</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000" w:type="dxa"/>
            <w:vAlign w:val="bottom"/>
            <w:gridSpan w:val="21"/>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Amended and Restated Credit and Security Agreement (Revolving</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Loan) between Sight Sciences, Inc. and Midcap Funding IV Trust,</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dated November 23, 2020</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000" w:type="dxa"/>
            <w:vAlign w:val="bottom"/>
            <w:gridSpan w:val="21"/>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First Amendment to the Amended and Restated Credit and Security</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Agreement (Revolving Loan) between Sight Sciences, Inc. and</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Midcap Funding IV Trust, dated October 5, 2021</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000" w:type="dxa"/>
            <w:vAlign w:val="bottom"/>
            <w:gridSpan w:val="21"/>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Second Amendment to the Amended and Restated Credit and</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Security Agreement (Revolving Loan) between Sight Sciences, Inc.</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and Midcap Funding IV Trust, dated November 15, 2021</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000" w:type="dxa"/>
            <w:vAlign w:val="bottom"/>
            <w:gridSpan w:val="21"/>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Third Amendment to the Amended and Restated Credit and Security</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Agreement (Revolving Loan) between Sight Sciences, Inc. and</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Midcap Funding IV Trust, dated May 10, 1022</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000" w:type="dxa"/>
            <w:vAlign w:val="bottom"/>
            <w:gridSpan w:val="21"/>
          </w:tcPr>
          <w:p>
            <w:pPr>
              <w:spacing w:after="0"/>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Fourth Amendment to the Amended and Restated Credit and Security</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Agreement (Revolving Loan) between Sight Sciences, Inc. and</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Midcap Funding IV Trust, dated December 28, 2022</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000" w:type="dxa"/>
            <w:vAlign w:val="bottom"/>
            <w:gridSpan w:val="21"/>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Supply Agreement between Sight Sciences, Inc. and Peter's</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Technology (Suzhou CO., LTD., dated January 14, 2021</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5000" w:type="dxa"/>
            <w:vAlign w:val="bottom"/>
            <w:gridSpan w:val="21"/>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Amendment #1 to Supply Agreement between Sight Sciences, Inc.</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and Peter's Technology (Suzhou) CO. LTD., dated January 28, 2022</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5000" w:type="dxa"/>
            <w:vAlign w:val="bottom"/>
            <w:gridSpan w:val="21"/>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Amendment #2 to Supply Agreement between Sight Sciences, Inc.</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and Peter's Technology (Suzhou) CO. LTD., dated July 19, 2022</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right w:val="single" w:sz="8" w:color="0000EE"/>
            </w:tcBorders>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5000" w:type="dxa"/>
            <w:vAlign w:val="bottom"/>
            <w:gridSpan w:val="21"/>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Loan and Security Agreement, by and among Sight Sciences, Inc.,</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and certain affiliates of Hercules Capital Inc., and Hercules Capital</w:t>
              </w:r>
            </w:hyperlink>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Inc., dated January 22, 2024</w:t>
              </w:r>
            </w:hyperlink>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Subsidiaries of Sight Sciences, Inc.</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160" w:type="dxa"/>
            <w:vAlign w:val="bottom"/>
            <w:tcBorders>
              <w:left w:val="single" w:sz="8" w:color="0000FF"/>
            </w:tcBorders>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Power of Attorney</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32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540" w:type="dxa"/>
            <w:vAlign w:val="bottom"/>
            <w:gridSpan w:val="1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14(a)/15d-14(a)</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54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20" w:type="dxa"/>
            <w:vAlign w:val="bottom"/>
            <w:gridSpan w:val="1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14(a)/15d-14(a)</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54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w:t>
            </w:r>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20" w:type="dxa"/>
            <w:vAlign w:val="bottom"/>
            <w:gridSpan w:val="1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Section 1350</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w:t>
            </w:r>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20" w:type="dxa"/>
            <w:vAlign w:val="bottom"/>
            <w:gridSpan w:val="1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Section 1350</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700" w:type="dxa"/>
            <w:vAlign w:val="bottom"/>
            <w:gridSpan w:val="1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Sight Sciences, Inc. Policy for Recovery of Erroneously Awarded</w:t>
            </w:r>
          </w:p>
        </w:tc>
      </w:tr>
      <w:tr>
        <w:trPr>
          <w:trHeight w:val="20"/>
        </w:trPr>
        <w:tc>
          <w:tcPr>
            <w:tcW w:w="92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3700" w:type="dxa"/>
            <w:vAlign w:val="bottom"/>
            <w:gridSpan w:val="16"/>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Compensation</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EE"/>
            </w:tcBorders>
            <w:gridSpan w:val="2"/>
            <w:shd w:val="clear" w:color="auto" w:fill="0000FF"/>
          </w:tcPr>
          <w:p>
            <w:pPr>
              <w:spacing w:after="0" w:line="20" w:lineRule="exact"/>
              <w:rPr>
                <w:sz w:val="1"/>
                <w:szCs w:val="1"/>
                <w:color w:val="auto"/>
              </w:rPr>
            </w:pPr>
          </w:p>
        </w:tc>
        <w:tc>
          <w:tcPr>
            <w:tcW w:w="3960" w:type="dxa"/>
            <w:vAlign w:val="bottom"/>
            <w:gridSpan w:val="19"/>
          </w:tcPr>
          <w:p>
            <w:pPr>
              <w:spacing w:after="0" w:line="20" w:lineRule="exact"/>
              <w:rPr>
                <w:sz w:val="1"/>
                <w:szCs w:val="1"/>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r>
      <w:tr>
        <w:trPr>
          <w:trHeight w:val="216"/>
        </w:trPr>
        <w:tc>
          <w:tcPr>
            <w:tcW w:w="920" w:type="dxa"/>
            <w:vAlign w:val="bottom"/>
          </w:tcPr>
          <w:p>
            <w:pPr>
              <w:spacing w:after="0"/>
              <w:rPr>
                <w:sz w:val="18"/>
                <w:szCs w:val="18"/>
                <w:color w:val="auto"/>
              </w:rPr>
            </w:pP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r>
      <w:tr>
        <w:trPr>
          <w:trHeight w:val="230"/>
        </w:trPr>
        <w:tc>
          <w:tcPr>
            <w:tcW w:w="920" w:type="dxa"/>
            <w:vAlign w:val="bottom"/>
          </w:tcPr>
          <w:p>
            <w:pPr>
              <w:spacing w:after="0"/>
              <w:rPr>
                <w:sz w:val="19"/>
                <w:szCs w:val="19"/>
                <w:color w:val="auto"/>
              </w:rPr>
            </w:pP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0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45"/>
        </w:trPr>
        <w:tc>
          <w:tcPr>
            <w:tcW w:w="920" w:type="dxa"/>
            <w:vAlign w:val="bottom"/>
          </w:tcPr>
          <w:p>
            <w:pPr>
              <w:spacing w:after="0"/>
              <w:rPr>
                <w:sz w:val="24"/>
                <w:szCs w:val="24"/>
                <w:color w:val="auto"/>
              </w:rPr>
            </w:pPr>
          </w:p>
        </w:tc>
        <w:tc>
          <w:tcPr>
            <w:tcW w:w="4820" w:type="dxa"/>
            <w:vAlign w:val="bottom"/>
            <w:gridSpan w:val="19"/>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3/16/2023</w:t>
            </w:r>
          </w:p>
        </w:tc>
      </w:tr>
      <w:tr>
        <w:trPr>
          <w:trHeight w:val="662"/>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11/07/2023</w:t>
            </w:r>
          </w:p>
        </w:tc>
      </w:tr>
      <w:tr>
        <w:trPr>
          <w:trHeight w:val="662"/>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06/23/2021</w:t>
            </w:r>
          </w:p>
        </w:tc>
      </w:tr>
      <w:tr>
        <w:trPr>
          <w:trHeight w:val="661"/>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11/10/2021</w:t>
            </w:r>
          </w:p>
        </w:tc>
      </w:tr>
      <w:tr>
        <w:trPr>
          <w:trHeight w:val="662"/>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03/24/2022</w:t>
            </w:r>
          </w:p>
        </w:tc>
      </w:tr>
      <w:tr>
        <w:trPr>
          <w:trHeight w:val="662"/>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08/11/2022</w:t>
            </w:r>
          </w:p>
        </w:tc>
      </w:tr>
      <w:tr>
        <w:trPr>
          <w:trHeight w:val="662"/>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0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3/16/2023</w:t>
            </w:r>
          </w:p>
        </w:tc>
      </w:tr>
      <w:tr>
        <w:trPr>
          <w:trHeight w:val="661"/>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333-257320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06/23/2021</w:t>
            </w:r>
          </w:p>
        </w:tc>
      </w:tr>
      <w:tr>
        <w:trPr>
          <w:trHeight w:val="446"/>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03/24/2022</w:t>
            </w:r>
          </w:p>
        </w:tc>
      </w:tr>
      <w:tr>
        <w:trPr>
          <w:trHeight w:val="445"/>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11/10/2022</w:t>
            </w:r>
          </w:p>
        </w:tc>
      </w:tr>
      <w:tr>
        <w:trPr>
          <w:trHeight w:val="445"/>
        </w:trPr>
        <w:tc>
          <w:tcPr>
            <w:tcW w:w="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1/23/2024</w:t>
            </w:r>
          </w:p>
        </w:tc>
      </w:tr>
    </w:tbl>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5920" w:space="280"/>
            <w:col w:w="4660"/>
          </w:cols>
          <w:pgMar w:left="340" w:top="1080" w:right="699" w:bottom="1440" w:gutter="0" w:footer="0" w:header="0"/>
        </w:sectPr>
      </w:pPr>
    </w:p>
    <w:bookmarkStart w:id="108" w:name="page109"/>
    <w:bookmarkEnd w:id="108"/>
    <w:tbl>
      <w:tblPr>
        <w:tblLayout w:type="fixed"/>
        <w:tblInd w:w="20" w:type="dxa"/>
        <w:tblCellMar>
          <w:top w:w="0" w:type="dxa"/>
          <w:left w:w="0" w:type="dxa"/>
          <w:bottom w:w="0" w:type="dxa"/>
          <w:right w:w="0" w:type="dxa"/>
        </w:tblCellMar>
      </w:tblP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80" w:type="dxa"/>
            <w:vAlign w:val="bottom"/>
          </w:tcPr>
          <w:p>
            <w:pPr>
              <w:spacing w:after="0"/>
              <w:rPr>
                <w:sz w:val="20"/>
                <w:szCs w:val="20"/>
                <w:color w:val="auto"/>
              </w:rPr>
            </w:pP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contained in Exhibit 101)</w:t>
            </w:r>
          </w:p>
        </w:tc>
        <w:tc>
          <w:tcPr>
            <w:tcW w:w="2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4230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or compensatory plan.</w:t>
      </w:r>
    </w:p>
    <w:p>
      <w:pPr>
        <w:spacing w:after="0" w:line="117" w:lineRule="exact"/>
        <w:rPr>
          <w:sz w:val="20"/>
          <w:szCs w:val="20"/>
          <w:color w:val="auto"/>
        </w:rPr>
      </w:pPr>
    </w:p>
    <w:p>
      <w:pPr>
        <w:ind w:firstLine="8"/>
        <w:spacing w:after="0" w:line="282" w:lineRule="auto"/>
        <w:tabs>
          <w:tab w:leader="none" w:pos="1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are redacted in accordance with Item 601(b)(10)(iv) of Regulation S-K. The Company agrees to furnish an unredacted copy of such exhibit, or a copy of any omitted schedule or exhibit, to the SEC upon request.</w:t>
      </w:r>
    </w:p>
    <w:p>
      <w:pPr>
        <w:spacing w:after="0" w:line="37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3" w:right="6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SIGHT SCIENCES, INC.</w:t>
            </w:r>
          </w:p>
        </w:tc>
      </w:tr>
      <w:tr>
        <w:trPr>
          <w:trHeight w:val="47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2024</w:t>
            </w: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Alison Bauerlein</w:t>
            </w:r>
          </w:p>
        </w:tc>
      </w:tr>
      <w:tr>
        <w:trPr>
          <w:trHeight w:val="225"/>
        </w:trPr>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Alison Bauerlein</w:t>
            </w:r>
          </w:p>
        </w:tc>
      </w:tr>
    </w:tbl>
    <w:p>
      <w:pPr>
        <w:ind w:left="606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11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3571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Paul Badawi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Paul Badawi</w:t>
      </w:r>
    </w:p>
    <w:p>
      <w:pPr>
        <w:spacing w:after="0" w:line="1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Alison Bauerlein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Alison Bauerlein</w:t>
      </w:r>
    </w:p>
    <w:p>
      <w:pPr>
        <w:spacing w:after="0" w:line="1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Staffan Encrantz</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Staffan Encrantz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David Badawi</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David Badawi,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Tamara Fountain</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Tamara Fountain,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Brenda Becker</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Brenda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Erica Rogers</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Erica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Catherine Mazzacco</w:t>
      </w:r>
    </w:p>
    <w:p>
      <w:pPr>
        <w:spacing w:after="0" w:line="4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Catherine Mazzacco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Donald Zurbay</w:t>
      </w:r>
    </w:p>
    <w:p>
      <w:pPr>
        <w:spacing w:after="0" w:line="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Donald Zurbay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3571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1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3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49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500"/>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49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500"/>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500"/>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49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bl>
    <w:p>
      <w:pPr>
        <w:spacing w:after="0" w:line="349" w:lineRule="exact"/>
        <w:rPr>
          <w:sz w:val="20"/>
          <w:szCs w:val="20"/>
          <w:color w:val="auto"/>
        </w:rPr>
      </w:pPr>
    </w:p>
    <w:p>
      <w:pPr>
        <w:sectPr>
          <w:pgSz w:w="11900" w:h="16838" w:orient="portrait"/>
          <w:cols w:equalWidth="0" w:num="2">
            <w:col w:w="3120" w:space="720"/>
            <w:col w:w="7400"/>
          </w:cols>
          <w:pgMar w:left="320" w:top="1089" w:right="339" w:bottom="1440" w:gutter="0" w:footer="0" w:header="0"/>
          <w:type w:val="continuous"/>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10" w:name="page111"/>
    <w:bookmarkEnd w:id="110"/>
    <w:p>
      <w:pPr>
        <w:ind w:left="1040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 AS AMENDED</w:t>
      </w:r>
    </w:p>
    <w:p>
      <w:pPr>
        <w:spacing w:after="0" w:line="2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the capital stock of Sight Sciences, Inc. (the “Company”, “we”, “us”, and “our”) and certain provisions of our restated certificate of incorporation (the “Charter”) and restated bylaws (the “Bylaws”) is not intended to be a complete summary of the rights and preferences of such securities and is qualified in its entirety by reference to the full text of the Amended Charter and Bylaws, copies of which have been filed with the Securities and Exchange Commission (“SEC”). You are encouraged to read the applicable provisions of Delaware law, the Charter and the Bylaws in their entirety for a complete description of the rights and preferences of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our Charter and Bylaws, our authorized capital stock consists of 200,000,000 shares of common stock, par value $0.001 per share, and 10,000,000 shares of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Charter. See below under “—Anti-Takeover Effects of Delaware Law and Our Certificate of Incorporation and Bylaws—Amendment of Charter Provisions.”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86"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7"/>
          <w:szCs w:val="17"/>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sinking fund provisions applicable to our common stock. Our outstanding shares of common stock are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 the terms of our Charter,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We have no present plans to issue any shares of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|US-DOCS\130708854.2||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spacing w:after="0" w:line="261" w:lineRule="auto"/>
        <w:rPr>
          <w:sz w:val="20"/>
          <w:szCs w:val="20"/>
          <w:color w:val="auto"/>
        </w:rPr>
      </w:pPr>
      <w:r>
        <w:rPr>
          <w:rFonts w:ascii="Times New Roman" w:cs="Times New Roman" w:eastAsia="Times New Roman" w:hAnsi="Times New Roman"/>
          <w:sz w:val="18"/>
          <w:szCs w:val="18"/>
          <w:color w:val="auto"/>
        </w:rPr>
        <w:t>Some provisions of Delaware law, our Charter and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eliminates the right of stockholders to act by written consent without a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Charter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Charter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112" w:name="page113"/>
    <w:bookmarkEnd w:id="112"/>
    <w:p>
      <w:pPr>
        <w:ind w:right="80"/>
        <w:spacing w:after="0" w:line="273" w:lineRule="auto"/>
        <w:rPr>
          <w:sz w:val="20"/>
          <w:szCs w:val="20"/>
          <w:color w:val="auto"/>
        </w:rPr>
      </w:pPr>
      <w:r>
        <w:rPr>
          <w:rFonts w:ascii="Times New Roman" w:cs="Times New Roman" w:eastAsia="Times New Roman" w:hAnsi="Times New Roman"/>
          <w:sz w:val="17"/>
          <w:szCs w:val="17"/>
          <w:color w:val="auto"/>
        </w:rPr>
        <w:t>We are subject to Section 203 of the General Corporation Law of the State of Delaware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Charter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DGCL or our Charter or Bylaws; (4) any action to interpret, apply, enforce or determine the validity of our Charter or Bylaws; or (5) any action asserting a claim governed by the internal affairs doctrine; provided that the exclusive forum provision will not apply to suits brought to enforce any liability or duty created by the Securities Act of 1933, as amended (the "Securities Act") or the Securities Exchange Act of 1934, as amended (the "Exchange Act"), or to any claim for which there is exclusive or concurrent federal and state jurisdiction. For instance, the provision would not apply to actions arising under federal securities laws, including suits brought to enforce any liability or duty created by the Securities Act, Exchange Act, or the rules and regulations thereunder. Our Charter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6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provisions of Delaware law, our Charter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Global Select Market under the symbol “SGHT.”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1461770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FIRST AMENDMENT TO MULTI-TENANT</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SPACE LEASE</w:t>
      </w:r>
    </w:p>
    <w:p>
      <w:pPr>
        <w:spacing w:after="0" w:line="178" w:lineRule="exact"/>
        <w:rPr>
          <w:sz w:val="20"/>
          <w:szCs w:val="20"/>
          <w:color w:val="auto"/>
        </w:rPr>
      </w:pPr>
    </w:p>
    <w:p>
      <w:pPr>
        <w:jc w:val="both"/>
        <w:ind w:left="160" w:right="120" w:firstLine="749"/>
        <w:spacing w:after="0" w:line="241" w:lineRule="auto"/>
        <w:rPr>
          <w:sz w:val="20"/>
          <w:szCs w:val="20"/>
          <w:color w:val="auto"/>
        </w:rPr>
      </w:pPr>
      <w:r>
        <w:rPr>
          <w:rFonts w:ascii="Times New Roman" w:cs="Times New Roman" w:eastAsia="Times New Roman" w:hAnsi="Times New Roman"/>
          <w:sz w:val="22"/>
          <w:szCs w:val="22"/>
          <w:color w:val="auto"/>
        </w:rPr>
        <w:t>This First Amendment To Multi-Tenant Space Lease (this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dated as of December 6, 2023 (the “</w:t>
      </w:r>
      <w:r>
        <w:rPr>
          <w:rFonts w:ascii="Times New Roman" w:cs="Times New Roman" w:eastAsia="Times New Roman" w:hAnsi="Times New Roman"/>
          <w:sz w:val="22"/>
          <w:szCs w:val="22"/>
          <w:b w:val="1"/>
          <w:bCs w:val="1"/>
          <w:color w:val="auto"/>
        </w:rPr>
        <w:t>Reference Date</w:t>
      </w:r>
      <w:r>
        <w:rPr>
          <w:rFonts w:ascii="Times New Roman" w:cs="Times New Roman" w:eastAsia="Times New Roman" w:hAnsi="Times New Roman"/>
          <w:sz w:val="22"/>
          <w:szCs w:val="22"/>
          <w:color w:val="auto"/>
        </w:rPr>
        <w:t>”), is made and entered into by and between Deerfield Campbell LLC, a California 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Sight Sciences,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with reference to those matters set forth hereinafter.</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left="160" w:right="120" w:firstLine="746"/>
        <w:spacing w:after="0" w:line="239" w:lineRule="auto"/>
        <w:tabs>
          <w:tab w:leader="none" w:pos="147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are parties to that certain Multi-Tenant Space Lease dated as of February 5, 2021 (the “</w:t>
      </w:r>
      <w:r>
        <w:rPr>
          <w:rFonts w:ascii="Times New Roman" w:cs="Times New Roman" w:eastAsia="Times New Roman" w:hAnsi="Times New Roman"/>
          <w:sz w:val="22"/>
          <w:szCs w:val="22"/>
          <w:b w:val="1"/>
          <w:bCs w:val="1"/>
          <w:color w:val="auto"/>
        </w:rPr>
        <w:t>Original Lease</w:t>
      </w:r>
      <w:r>
        <w:rPr>
          <w:rFonts w:ascii="Times New Roman" w:cs="Times New Roman" w:eastAsia="Times New Roman" w:hAnsi="Times New Roman"/>
          <w:sz w:val="22"/>
          <w:szCs w:val="22"/>
          <w:color w:val="auto"/>
        </w:rPr>
        <w:t>”), for that certain premises containing approximately 10,823 square feet of gross leasable area located on the first floor (Suites 100 and 120) of that portion of the Building commonly known as 4040 Campbell Avenue, City of Menlo Park, County of San Mateo, State of California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160" w:right="120" w:firstLine="746"/>
        <w:spacing w:after="0" w:line="239" w:lineRule="auto"/>
        <w:tabs>
          <w:tab w:leader="none" w:pos="147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are also parties to that certain Commencement Date/Acceptance Agreement dated as of August 1, 2021 (the “</w:t>
      </w:r>
      <w:r>
        <w:rPr>
          <w:rFonts w:ascii="Times New Roman" w:cs="Times New Roman" w:eastAsia="Times New Roman" w:hAnsi="Times New Roman"/>
          <w:sz w:val="22"/>
          <w:szCs w:val="22"/>
          <w:b w:val="1"/>
          <w:bCs w:val="1"/>
          <w:color w:val="auto"/>
        </w:rPr>
        <w:t>Commencement Date Agreement</w:t>
      </w:r>
      <w:r>
        <w:rPr>
          <w:rFonts w:ascii="Times New Roman" w:cs="Times New Roman" w:eastAsia="Times New Roman" w:hAnsi="Times New Roman"/>
          <w:sz w:val="22"/>
          <w:szCs w:val="22"/>
          <w:color w:val="auto"/>
        </w:rPr>
        <w:t>”). The Original Lease and the Commencement Date Agreement are collectively referred to herein as the “</w:t>
      </w:r>
      <w:r>
        <w:rPr>
          <w:rFonts w:ascii="Times New Roman" w:cs="Times New Roman" w:eastAsia="Times New Roman" w:hAnsi="Times New Roman"/>
          <w:sz w:val="22"/>
          <w:szCs w:val="22"/>
          <w:b w:val="1"/>
          <w:bCs w:val="1"/>
          <w:color w:val="auto"/>
        </w:rPr>
        <w:t>Existing Lease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means the Existing Lease, as amended by this First Amendment.</w:t>
      </w:r>
    </w:p>
    <w:p>
      <w:pPr>
        <w:spacing w:after="0" w:line="180" w:lineRule="exact"/>
        <w:rPr>
          <w:rFonts w:ascii="Times New Roman" w:cs="Times New Roman" w:eastAsia="Times New Roman" w:hAnsi="Times New Roman"/>
          <w:sz w:val="22"/>
          <w:szCs w:val="22"/>
          <w:color w:val="auto"/>
        </w:rPr>
      </w:pPr>
    </w:p>
    <w:p>
      <w:pPr>
        <w:jc w:val="both"/>
        <w:ind w:left="160" w:right="120" w:firstLine="746"/>
        <w:spacing w:after="0" w:line="244" w:lineRule="auto"/>
        <w:tabs>
          <w:tab w:leader="none" w:pos="147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and Tenant now desire to amend the Existing Lease to provide for, among other things, an extension of the Lease Term as more particularly set forth herein. Any capitalized term used herein in the First Amendment without definition shall have the same meaning as given to such term in the Original Lease.</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NOW THEREFORE, in consideration of the foregoing recitals, mutual covenants and agreements set forth herein,</w:t>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Landlord and Tenant do hereby agree as follows:</w:t>
      </w:r>
    </w:p>
    <w:p>
      <w:pPr>
        <w:spacing w:after="0" w:line="178" w:lineRule="exact"/>
        <w:rPr>
          <w:sz w:val="20"/>
          <w:szCs w:val="20"/>
          <w:color w:val="auto"/>
        </w:rPr>
      </w:pPr>
    </w:p>
    <w:p>
      <w:pPr>
        <w:ind w:left="160" w:right="120" w:firstLine="746"/>
        <w:spacing w:after="0" w:line="262" w:lineRule="auto"/>
        <w:tabs>
          <w:tab w:leader="none" w:pos="1471"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Incorporation of Recitals</w:t>
      </w:r>
      <w:r>
        <w:rPr>
          <w:rFonts w:ascii="Times New Roman" w:cs="Times New Roman" w:eastAsia="Times New Roman" w:hAnsi="Times New Roman"/>
          <w:sz w:val="22"/>
          <w:szCs w:val="22"/>
          <w:color w:val="auto"/>
        </w:rPr>
        <w:t>. The foregoing recitals are hereby incorporated by reference in this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to Lease.</w:t>
      </w:r>
    </w:p>
    <w:p>
      <w:pPr>
        <w:spacing w:after="0" w:line="149" w:lineRule="exact"/>
        <w:rPr>
          <w:rFonts w:ascii="Times New Roman" w:cs="Times New Roman" w:eastAsia="Times New Roman" w:hAnsi="Times New Roman"/>
          <w:sz w:val="22"/>
          <w:szCs w:val="22"/>
          <w:b w:val="1"/>
          <w:bCs w:val="1"/>
          <w:color w:val="auto"/>
        </w:rPr>
      </w:pPr>
    </w:p>
    <w:p>
      <w:pPr>
        <w:ind w:left="1460" w:hanging="554"/>
        <w:spacing w:after="0"/>
        <w:tabs>
          <w:tab w:leader="none" w:pos="1460"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Lease Term</w:t>
      </w:r>
      <w:r>
        <w:rPr>
          <w:rFonts w:ascii="Times New Roman" w:cs="Times New Roman" w:eastAsia="Times New Roman" w:hAnsi="Times New Roman"/>
          <w:sz w:val="22"/>
          <w:szCs w:val="22"/>
          <w:color w:val="auto"/>
        </w:rPr>
        <w:t>. Landlord and Tenant hereby agree that the Lease Term be extended for a period of twenty-six</w:t>
      </w:r>
    </w:p>
    <w:p>
      <w:pPr>
        <w:spacing w:after="0" w:line="18" w:lineRule="exact"/>
        <w:rPr>
          <w:rFonts w:ascii="Times New Roman" w:cs="Times New Roman" w:eastAsia="Times New Roman" w:hAnsi="Times New Roman"/>
          <w:sz w:val="22"/>
          <w:szCs w:val="22"/>
          <w:b w:val="1"/>
          <w:bCs w:val="1"/>
          <w:color w:val="auto"/>
        </w:rPr>
      </w:pPr>
    </w:p>
    <w:p>
      <w:pPr>
        <w:ind w:left="600" w:hanging="442"/>
        <w:spacing w:after="0" w:line="230" w:lineRule="auto"/>
        <w:tabs>
          <w:tab w:leader="none" w:pos="6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commencing on September 1, 2024 (“</w:t>
      </w:r>
      <w:r>
        <w:rPr>
          <w:rFonts w:ascii="Times New Roman" w:cs="Times New Roman" w:eastAsia="Times New Roman" w:hAnsi="Times New Roman"/>
          <w:sz w:val="22"/>
          <w:szCs w:val="22"/>
          <w:b w:val="1"/>
          <w:bCs w:val="1"/>
          <w:color w:val="auto"/>
        </w:rPr>
        <w:t>Lease Extension Commencement Date</w:t>
      </w:r>
      <w:r>
        <w:rPr>
          <w:rFonts w:ascii="Times New Roman" w:cs="Times New Roman" w:eastAsia="Times New Roman" w:hAnsi="Times New Roman"/>
          <w:sz w:val="22"/>
          <w:szCs w:val="22"/>
          <w:color w:val="auto"/>
        </w:rPr>
        <w:t>”) and expiring on October 31,</w:t>
      </w:r>
    </w:p>
    <w:p>
      <w:pPr>
        <w:ind w:left="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2026 (“</w:t>
      </w:r>
      <w:r>
        <w:rPr>
          <w:rFonts w:ascii="Times New Roman" w:cs="Times New Roman" w:eastAsia="Times New Roman" w:hAnsi="Times New Roman"/>
          <w:sz w:val="22"/>
          <w:szCs w:val="22"/>
          <w:b w:val="1"/>
          <w:bCs w:val="1"/>
          <w:color w:val="auto"/>
        </w:rPr>
        <w:t>Lease Expiration Date</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160" w:right="120" w:firstLine="746"/>
        <w:spacing w:after="0" w:line="262" w:lineRule="auto"/>
        <w:tabs>
          <w:tab w:leader="none" w:pos="1471"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Use</w:t>
      </w:r>
      <w:r>
        <w:rPr>
          <w:rFonts w:ascii="Times New Roman" w:cs="Times New Roman" w:eastAsia="Times New Roman" w:hAnsi="Times New Roman"/>
          <w:sz w:val="22"/>
          <w:szCs w:val="22"/>
          <w:color w:val="auto"/>
        </w:rPr>
        <w:t>. Landlord and Tenant hereby agree that the Permitted Use of the Premises during the Lease extension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shall remain as stated in section 1.9 of the Original Lease.</w:t>
      </w:r>
    </w:p>
    <w:p>
      <w:pPr>
        <w:spacing w:after="0" w:line="149" w:lineRule="exact"/>
        <w:rPr>
          <w:rFonts w:ascii="Times New Roman" w:cs="Times New Roman" w:eastAsia="Times New Roman" w:hAnsi="Times New Roman"/>
          <w:sz w:val="22"/>
          <w:szCs w:val="22"/>
          <w:b w:val="1"/>
          <w:bCs w:val="1"/>
          <w:color w:val="auto"/>
        </w:rPr>
      </w:pPr>
    </w:p>
    <w:p>
      <w:pPr>
        <w:ind w:left="160" w:right="120" w:firstLine="746"/>
        <w:spacing w:after="0" w:line="251" w:lineRule="auto"/>
        <w:tabs>
          <w:tab w:leader="none" w:pos="1471"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Base Monthly Rent</w:t>
      </w:r>
      <w:r>
        <w:rPr>
          <w:rFonts w:ascii="Times New Roman" w:cs="Times New Roman" w:eastAsia="Times New Roman" w:hAnsi="Times New Roman"/>
          <w:sz w:val="22"/>
          <w:szCs w:val="22"/>
          <w:color w:val="auto"/>
        </w:rPr>
        <w:t>. Landlord and Tenant agree that Base Monthly Rent for the twenty-six (26) month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extension period shall be, as follows:</w:t>
      </w:r>
    </w:p>
    <w:p>
      <w:pPr>
        <w:jc w:val="center"/>
        <w:ind w:left="4100"/>
        <w:spacing w:after="0"/>
        <w:tabs>
          <w:tab w:leader="none" w:pos="220" w:val="left"/>
        </w:tabs>
        <w:rPr>
          <w:sz w:val="20"/>
          <w:szCs w:val="20"/>
          <w:color w:val="auto"/>
        </w:rPr>
      </w:pPr>
      <w:r>
        <w:rPr>
          <w:rFonts w:ascii="Times New Roman" w:cs="Times New Roman" w:eastAsia="Times New Roman" w:hAnsi="Times New Roman"/>
          <w:sz w:val="22"/>
          <w:szCs w:val="22"/>
          <w:b w:val="1"/>
          <w:bCs w:val="1"/>
          <w:u w:val="single" w:color="auto"/>
          <w:color w:val="auto"/>
        </w:rPr>
        <w:t>Period</w:t>
        <w:tab/>
        <w:t>Base Monthly Rent Amount</w:t>
      </w:r>
    </w:p>
    <w:p>
      <w:pPr>
        <w:sectPr>
          <w:pgSz w:w="11900" w:h="16838" w:orient="portrait"/>
          <w:cols w:equalWidth="0" w:num="1">
            <w:col w:w="11180"/>
          </w:cols>
          <w:pgMar w:left="380" w:top="1350" w:right="339" w:bottom="1440" w:gutter="0" w:footer="0" w:header="0"/>
        </w:sectPr>
      </w:pPr>
    </w:p>
    <w:p>
      <w:pPr>
        <w:spacing w:after="0" w:line="234" w:lineRule="exact"/>
        <w:rPr>
          <w:sz w:val="20"/>
          <w:szCs w:val="20"/>
          <w:color w:val="auto"/>
        </w:rPr>
      </w:pPr>
    </w:p>
    <w:p>
      <w:pPr>
        <w:ind w:left="1280"/>
        <w:spacing w:after="0" w:line="282" w:lineRule="auto"/>
        <w:rPr>
          <w:sz w:val="20"/>
          <w:szCs w:val="20"/>
          <w:color w:val="auto"/>
        </w:rPr>
      </w:pPr>
      <w:r>
        <w:rPr>
          <w:rFonts w:ascii="Times New Roman" w:cs="Times New Roman" w:eastAsia="Times New Roman" w:hAnsi="Times New Roman"/>
          <w:sz w:val="21"/>
          <w:szCs w:val="21"/>
          <w:color w:val="auto"/>
        </w:rPr>
        <w:t>September 1, 2024 through October 31, 2024 November 1, 2024 through October 31, 2025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abated during this period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$45,456.60</w:t>
      </w:r>
    </w:p>
    <w:p>
      <w:pPr>
        <w:spacing w:after="0" w:line="218" w:lineRule="exact"/>
        <w:rPr>
          <w:sz w:val="20"/>
          <w:szCs w:val="20"/>
          <w:color w:val="auto"/>
        </w:rPr>
      </w:pPr>
    </w:p>
    <w:p>
      <w:pPr>
        <w:sectPr>
          <w:pgSz w:w="11900" w:h="16838" w:orient="portrait"/>
          <w:cols w:equalWidth="0" w:num="2">
            <w:col w:w="5180" w:space="420"/>
            <w:col w:w="5580"/>
          </w:cols>
          <w:pgMar w:left="380" w:top="135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527685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350" w:right="339" w:bottom="1440" w:gutter="0" w:footer="0" w:header="0"/>
          <w:type w:val="continuous"/>
        </w:sectPr>
      </w:pPr>
    </w:p>
    <w:bookmarkStart w:id="114" w:name="page115"/>
    <w:bookmarkEnd w:id="114"/>
    <w:tbl>
      <w:tblPr>
        <w:tblLayout w:type="fixed"/>
        <w:tblInd w:w="1280" w:type="dxa"/>
        <w:tblCellMar>
          <w:top w:w="0" w:type="dxa"/>
          <w:left w:w="0" w:type="dxa"/>
          <w:bottom w:w="0" w:type="dxa"/>
          <w:right w:w="0" w:type="dxa"/>
        </w:tblCellMar>
      </w:tblPr>
      <w:tr>
        <w:trPr>
          <w:trHeight w:val="282"/>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November 1, 2025 through October 31, 2026</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$46,820.30</w:t>
            </w:r>
          </w:p>
        </w:tc>
      </w:tr>
    </w:tbl>
    <w:p>
      <w:pPr>
        <w:spacing w:after="0" w:line="213" w:lineRule="exact"/>
        <w:rPr>
          <w:sz w:val="20"/>
          <w:szCs w:val="20"/>
          <w:color w:val="auto"/>
        </w:rPr>
      </w:pPr>
    </w:p>
    <w:p>
      <w:pPr>
        <w:ind w:left="160" w:right="20" w:firstLine="746"/>
        <w:spacing w:after="0" w:line="262" w:lineRule="auto"/>
        <w:tabs>
          <w:tab w:leader="none" w:pos="147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Rent</w:t>
      </w:r>
      <w:r>
        <w:rPr>
          <w:rFonts w:ascii="Times New Roman" w:cs="Times New Roman" w:eastAsia="Times New Roman" w:hAnsi="Times New Roman"/>
          <w:sz w:val="22"/>
          <w:szCs w:val="22"/>
          <w:color w:val="auto"/>
        </w:rPr>
        <w:t>. Landlord and Tenant hereby agree that Additional Rent shall be due and payable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twenty-six (26) months of the extension period.</w:t>
      </w:r>
    </w:p>
    <w:p>
      <w:pPr>
        <w:spacing w:after="0" w:line="149" w:lineRule="exact"/>
        <w:rPr>
          <w:rFonts w:ascii="Times New Roman" w:cs="Times New Roman" w:eastAsia="Times New Roman" w:hAnsi="Times New Roman"/>
          <w:sz w:val="22"/>
          <w:szCs w:val="22"/>
          <w:b w:val="1"/>
          <w:bCs w:val="1"/>
          <w:color w:val="auto"/>
        </w:rPr>
      </w:pPr>
    </w:p>
    <w:p>
      <w:pPr>
        <w:ind w:left="160" w:firstLine="746"/>
        <w:spacing w:after="0" w:line="262" w:lineRule="auto"/>
        <w:tabs>
          <w:tab w:leader="none" w:pos="147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Operating Expenses</w:t>
      </w:r>
      <w:r>
        <w:rPr>
          <w:rFonts w:ascii="Times New Roman" w:cs="Times New Roman" w:eastAsia="Times New Roman" w:hAnsi="Times New Roman"/>
          <w:sz w:val="22"/>
          <w:szCs w:val="22"/>
          <w:color w:val="auto"/>
        </w:rPr>
        <w:t>. Landlord and Tenant hereby agree that Operating Expenses, as set forth in detail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Lease, shall remain the same during the extension period.</w:t>
      </w:r>
    </w:p>
    <w:p>
      <w:pPr>
        <w:spacing w:after="0" w:line="149" w:lineRule="exact"/>
        <w:rPr>
          <w:rFonts w:ascii="Times New Roman" w:cs="Times New Roman" w:eastAsia="Times New Roman" w:hAnsi="Times New Roman"/>
          <w:sz w:val="22"/>
          <w:szCs w:val="22"/>
          <w:b w:val="1"/>
          <w:bCs w:val="1"/>
          <w:color w:val="auto"/>
        </w:rPr>
      </w:pPr>
    </w:p>
    <w:p>
      <w:pPr>
        <w:ind w:left="160" w:firstLine="746"/>
        <w:spacing w:after="0" w:line="262" w:lineRule="auto"/>
        <w:tabs>
          <w:tab w:leader="none" w:pos="147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Tenant Improvement Allowance</w:t>
      </w:r>
      <w:r>
        <w:rPr>
          <w:rFonts w:ascii="Times New Roman" w:cs="Times New Roman" w:eastAsia="Times New Roman" w:hAnsi="Times New Roman"/>
          <w:sz w:val="22"/>
          <w:szCs w:val="22"/>
          <w:color w:val="auto"/>
        </w:rPr>
        <w:t>. Landlord and Tenant agree there shall be no Tenant Improvement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Allowance provided by Landlord for use by Tenant during the extension period.</w:t>
      </w:r>
    </w:p>
    <w:p>
      <w:pPr>
        <w:spacing w:after="0" w:line="149" w:lineRule="exact"/>
        <w:rPr>
          <w:rFonts w:ascii="Times New Roman" w:cs="Times New Roman" w:eastAsia="Times New Roman" w:hAnsi="Times New Roman"/>
          <w:sz w:val="22"/>
          <w:szCs w:val="22"/>
          <w:b w:val="1"/>
          <w:bCs w:val="1"/>
          <w:color w:val="auto"/>
        </w:rPr>
      </w:pPr>
    </w:p>
    <w:p>
      <w:pPr>
        <w:jc w:val="both"/>
        <w:ind w:left="160" w:firstLine="746"/>
        <w:spacing w:after="0" w:line="241" w:lineRule="auto"/>
        <w:tabs>
          <w:tab w:leader="none" w:pos="147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Security Deposit</w:t>
      </w:r>
      <w:r>
        <w:rPr>
          <w:rFonts w:ascii="Times New Roman" w:cs="Times New Roman" w:eastAsia="Times New Roman" w:hAnsi="Times New Roman"/>
          <w:sz w:val="22"/>
          <w:szCs w:val="22"/>
          <w:color w:val="auto"/>
        </w:rPr>
        <w:t>. Landlord and Tenant hereby agree that Landlord shall restore to Tenant the sum of Thirty-Six Thousand Dollars ($36,000.00) within thirty (30) days of the Lease Extension Commencement Date. It is agreed that Landlord shall retain the sum of Seventy-Two Thousand Three Hundred Fifty-Eight Dollars and 44/100 ($72,358.44) of the original Security Deposit for the duration of the Lease Term.</w:t>
      </w:r>
    </w:p>
    <w:p>
      <w:pPr>
        <w:spacing w:after="0" w:line="171" w:lineRule="exact"/>
        <w:rPr>
          <w:rFonts w:ascii="Times New Roman" w:cs="Times New Roman" w:eastAsia="Times New Roman" w:hAnsi="Times New Roman"/>
          <w:sz w:val="22"/>
          <w:szCs w:val="22"/>
          <w:b w:val="1"/>
          <w:bCs w:val="1"/>
          <w:color w:val="auto"/>
        </w:rPr>
      </w:pPr>
    </w:p>
    <w:p>
      <w:pPr>
        <w:ind w:left="160" w:firstLine="746"/>
        <w:spacing w:after="0" w:line="262" w:lineRule="auto"/>
        <w:tabs>
          <w:tab w:leader="none" w:pos="147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Options</w:t>
      </w:r>
      <w:r>
        <w:rPr>
          <w:rFonts w:ascii="Times New Roman" w:cs="Times New Roman" w:eastAsia="Times New Roman" w:hAnsi="Times New Roman"/>
          <w:sz w:val="22"/>
          <w:szCs w:val="22"/>
          <w:color w:val="auto"/>
        </w:rPr>
        <w:t>. Notwithstanding anything to the contrary in the Original Lease, Landlord and Tenant hereby agree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sections 21 and 22 of the Original Lease are reinstated.</w:t>
      </w:r>
    </w:p>
    <w:p>
      <w:pPr>
        <w:spacing w:after="0" w:line="176" w:lineRule="exact"/>
        <w:rPr>
          <w:rFonts w:ascii="Times New Roman" w:cs="Times New Roman" w:eastAsia="Times New Roman" w:hAnsi="Times New Roman"/>
          <w:sz w:val="22"/>
          <w:szCs w:val="22"/>
          <w:b w:val="1"/>
          <w:bCs w:val="1"/>
          <w:color w:val="auto"/>
        </w:rPr>
      </w:pPr>
    </w:p>
    <w:p>
      <w:pPr>
        <w:ind w:left="160" w:firstLine="746"/>
        <w:spacing w:after="0" w:line="262" w:lineRule="auto"/>
        <w:tabs>
          <w:tab w:leader="none" w:pos="147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Assignment/Subletting</w:t>
      </w:r>
      <w:r>
        <w:rPr>
          <w:rFonts w:ascii="Times New Roman" w:cs="Times New Roman" w:eastAsia="Times New Roman" w:hAnsi="Times New Roman"/>
          <w:sz w:val="22"/>
          <w:szCs w:val="22"/>
          <w:color w:val="auto"/>
        </w:rPr>
        <w:t>. Landlord and Tenant hereby agree that the provisions of section 14 of the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shall remain unchanged and are herein reinstated.</w:t>
      </w:r>
    </w:p>
    <w:p>
      <w:pPr>
        <w:spacing w:after="0" w:line="176" w:lineRule="exact"/>
        <w:rPr>
          <w:rFonts w:ascii="Times New Roman" w:cs="Times New Roman" w:eastAsia="Times New Roman" w:hAnsi="Times New Roman"/>
          <w:sz w:val="22"/>
          <w:szCs w:val="22"/>
          <w:b w:val="1"/>
          <w:bCs w:val="1"/>
          <w:color w:val="auto"/>
        </w:rPr>
      </w:pPr>
    </w:p>
    <w:p>
      <w:pPr>
        <w:jc w:val="both"/>
        <w:ind w:left="160" w:firstLine="746"/>
        <w:spacing w:after="0" w:line="252" w:lineRule="auto"/>
        <w:tabs>
          <w:tab w:leader="none" w:pos="1471"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Consents</w:t>
      </w:r>
      <w:r>
        <w:rPr>
          <w:rFonts w:ascii="Times New Roman" w:cs="Times New Roman" w:eastAsia="Times New Roman" w:hAnsi="Times New Roman"/>
          <w:sz w:val="21"/>
          <w:szCs w:val="21"/>
          <w:color w:val="auto"/>
        </w:rPr>
        <w:t>. Landlord hereby represents and warrants to Tenant that all consents required, if any, from lenders,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mortgagees, and ground lessors, and any other holders of liens or encumbrances on, against, or affecting the Leased Premises and/or the real property on which the Leased Premises are located, have been obtained for execution and performance of this First Amendment. Landlord agrees to indemnify, defend and hold Tenant harmless from and against any liability, claim, loss, cost, damage or expense arising from or based upon Landlord’s failure to obtain all such required consents.</w:t>
      </w:r>
    </w:p>
    <w:p>
      <w:pPr>
        <w:spacing w:after="0" w:line="190" w:lineRule="exact"/>
        <w:rPr>
          <w:rFonts w:ascii="Times New Roman" w:cs="Times New Roman" w:eastAsia="Times New Roman" w:hAnsi="Times New Roman"/>
          <w:sz w:val="21"/>
          <w:szCs w:val="21"/>
          <w:b w:val="1"/>
          <w:bCs w:val="1"/>
          <w:color w:val="auto"/>
        </w:rPr>
      </w:pPr>
    </w:p>
    <w:p>
      <w:pPr>
        <w:jc w:val="both"/>
        <w:ind w:left="160" w:firstLine="746"/>
        <w:spacing w:after="0" w:line="235" w:lineRule="auto"/>
        <w:tabs>
          <w:tab w:leader="none" w:pos="147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Advice of Counsel</w:t>
      </w:r>
      <w:r>
        <w:rPr>
          <w:rFonts w:ascii="Times New Roman" w:cs="Times New Roman" w:eastAsia="Times New Roman" w:hAnsi="Times New Roman"/>
          <w:sz w:val="22"/>
          <w:szCs w:val="22"/>
          <w:color w:val="auto"/>
        </w:rPr>
        <w:t>. Landlord and Tenant each warrants and represents that it has had ample opportunity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independent investigation and to seek and obtain legal representation including, but not limited to, express legal advice with regard to the negotiations which have led to the preparation and signing this First Amendment. Each party further warrants and represents that it has completed as much independent investigation and obtained as much legal counsel as it determines, in its sole discretion, to be sufficient under the particular circumstances of this First Amendment or, in the alternative, that it has elected not to do so, notwithstanding the fact that it could have done so. Further, each party warrants and represents that its execution of this First Amendment is done knowingly and willfully, and without any mistake, fraud, duress or undue influence.</w:t>
      </w:r>
    </w:p>
    <w:p>
      <w:pPr>
        <w:spacing w:after="0" w:line="245" w:lineRule="exact"/>
        <w:rPr>
          <w:rFonts w:ascii="Times New Roman" w:cs="Times New Roman" w:eastAsia="Times New Roman" w:hAnsi="Times New Roman"/>
          <w:sz w:val="22"/>
          <w:szCs w:val="22"/>
          <w:b w:val="1"/>
          <w:bCs w:val="1"/>
          <w:color w:val="auto"/>
        </w:rPr>
      </w:pPr>
    </w:p>
    <w:p>
      <w:pPr>
        <w:jc w:val="both"/>
        <w:ind w:left="160" w:firstLine="746"/>
        <w:spacing w:after="0" w:line="238" w:lineRule="auto"/>
        <w:tabs>
          <w:tab w:leader="none" w:pos="147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Authority of Parties</w:t>
      </w:r>
      <w:r>
        <w:rPr>
          <w:rFonts w:ascii="Times New Roman" w:cs="Times New Roman" w:eastAsia="Times New Roman" w:hAnsi="Times New Roman"/>
          <w:sz w:val="22"/>
          <w:szCs w:val="22"/>
          <w:color w:val="auto"/>
        </w:rPr>
        <w:t>. Each party warrants and represents that in executing this First Amendment, it (i) has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and unrestricted right, power, capacity and authority to enter into, deliver, execute and perform its obligations under this First Amendment; and (ii) no further consent or approval is required to permit such party to enter into, execute, deliver and perform its obligations hereunder; and (iii) that this First Amendment is a valid and binding obligation upon each party, and is enforceable against each party in accordance with the terms hereof; and (iv) the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527685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54" w:right="459" w:bottom="1440" w:gutter="0" w:footer="0" w:header="0"/>
        </w:sectPr>
      </w:pPr>
    </w:p>
    <w:bookmarkStart w:id="115" w:name="page116"/>
    <w:bookmarkEnd w:id="115"/>
    <w:p>
      <w:pPr>
        <w:jc w:val="both"/>
        <w:ind w:left="160" w:right="40"/>
        <w:spacing w:after="0" w:line="244" w:lineRule="auto"/>
        <w:rPr>
          <w:sz w:val="20"/>
          <w:szCs w:val="20"/>
          <w:color w:val="auto"/>
        </w:rPr>
      </w:pPr>
      <w:r>
        <w:rPr>
          <w:rFonts w:ascii="Times New Roman" w:cs="Times New Roman" w:eastAsia="Times New Roman" w:hAnsi="Times New Roman"/>
          <w:sz w:val="22"/>
          <w:szCs w:val="22"/>
          <w:color w:val="auto"/>
        </w:rPr>
        <w:t>execution, delivery and/or performance of the terms of this First Amendment will not result in any violation of, be in conflict with, nor constitute a default under any provision of any judgment, decree, order, law or contract to which either party is bound or otherwise accountable.</w:t>
      </w:r>
    </w:p>
    <w:p>
      <w:pPr>
        <w:spacing w:after="0" w:line="196" w:lineRule="exact"/>
        <w:rPr>
          <w:sz w:val="20"/>
          <w:szCs w:val="20"/>
          <w:color w:val="auto"/>
        </w:rPr>
      </w:pPr>
    </w:p>
    <w:p>
      <w:pPr>
        <w:jc w:val="both"/>
        <w:ind w:left="160" w:right="20" w:firstLine="746"/>
        <w:spacing w:after="0" w:line="241" w:lineRule="auto"/>
        <w:tabs>
          <w:tab w:leader="none" w:pos="1471"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Further Acts/Cooperation of Parties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further consideration, each party shall execute and deliver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other documents, and perform such further acts, as are reasonably requested by any other party or which may be necessary or convenient to effect the terms/purposes of this First Amendment and act cooperatively and reasonably in all matters related hereto.</w:t>
      </w:r>
    </w:p>
    <w:p>
      <w:pPr>
        <w:spacing w:after="0" w:line="198" w:lineRule="exact"/>
        <w:rPr>
          <w:rFonts w:ascii="Times New Roman" w:cs="Times New Roman" w:eastAsia="Times New Roman" w:hAnsi="Times New Roman"/>
          <w:sz w:val="22"/>
          <w:szCs w:val="22"/>
          <w:b w:val="1"/>
          <w:bCs w:val="1"/>
          <w:color w:val="auto"/>
        </w:rPr>
      </w:pPr>
    </w:p>
    <w:p>
      <w:pPr>
        <w:jc w:val="both"/>
        <w:ind w:left="160" w:right="20" w:firstLine="746"/>
        <w:spacing w:after="0" w:line="246" w:lineRule="auto"/>
        <w:tabs>
          <w:tab w:leader="none" w:pos="1471"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Binding Upon Successors and Assigns</w:t>
      </w:r>
      <w:r>
        <w:rPr>
          <w:rFonts w:ascii="Times New Roman" w:cs="Times New Roman" w:eastAsia="Times New Roman" w:hAnsi="Times New Roman"/>
          <w:sz w:val="22"/>
          <w:szCs w:val="22"/>
          <w:color w:val="auto"/>
        </w:rPr>
        <w:t>. This First Amendment, and each provision hereof, shall be binding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and inure to the benefit of each party and each party's respective successors, heirs, executors, representatives, beneficiaries and permitted assigns.</w:t>
      </w:r>
    </w:p>
    <w:p>
      <w:pPr>
        <w:spacing w:after="0" w:line="194" w:lineRule="exact"/>
        <w:rPr>
          <w:rFonts w:ascii="Times New Roman" w:cs="Times New Roman" w:eastAsia="Times New Roman" w:hAnsi="Times New Roman"/>
          <w:sz w:val="22"/>
          <w:szCs w:val="22"/>
          <w:b w:val="1"/>
          <w:bCs w:val="1"/>
          <w:color w:val="auto"/>
        </w:rPr>
      </w:pPr>
    </w:p>
    <w:p>
      <w:pPr>
        <w:jc w:val="both"/>
        <w:ind w:left="160" w:right="20" w:firstLine="746"/>
        <w:spacing w:after="0" w:line="241" w:lineRule="auto"/>
        <w:tabs>
          <w:tab w:leader="none" w:pos="1471"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Litigation and Attorney's Fees</w:t>
      </w:r>
      <w:r>
        <w:rPr>
          <w:rFonts w:ascii="Times New Roman" w:cs="Times New Roman" w:eastAsia="Times New Roman" w:hAnsi="Times New Roman"/>
          <w:sz w:val="22"/>
          <w:szCs w:val="22"/>
          <w:color w:val="auto"/>
        </w:rPr>
        <w:t>. Cumulative and in addition to any other relief sought and/or obtained,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prevailing party (or its authorized successors or assigns) in any litigation arising out of, or in relation to, the formation, enforcement or interpretation of this First Amendment shall be entitled to recover from and against the non-prevailing party, all of the prevailing party's reasonably incurred costs and attorney's fees.</w:t>
      </w:r>
    </w:p>
    <w:p>
      <w:pPr>
        <w:spacing w:after="0" w:line="198" w:lineRule="exact"/>
        <w:rPr>
          <w:rFonts w:ascii="Times New Roman" w:cs="Times New Roman" w:eastAsia="Times New Roman" w:hAnsi="Times New Roman"/>
          <w:sz w:val="22"/>
          <w:szCs w:val="22"/>
          <w:b w:val="1"/>
          <w:bCs w:val="1"/>
          <w:color w:val="auto"/>
        </w:rPr>
      </w:pPr>
    </w:p>
    <w:p>
      <w:pPr>
        <w:jc w:val="both"/>
        <w:ind w:left="160" w:right="20" w:firstLine="746"/>
        <w:spacing w:after="0" w:line="238" w:lineRule="auto"/>
        <w:tabs>
          <w:tab w:leader="none" w:pos="1471"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Full Force and Effect</w:t>
      </w:r>
      <w:r>
        <w:rPr>
          <w:rFonts w:ascii="Times New Roman" w:cs="Times New Roman" w:eastAsia="Times New Roman" w:hAnsi="Times New Roman"/>
          <w:sz w:val="22"/>
          <w:szCs w:val="22"/>
          <w:color w:val="auto"/>
        </w:rPr>
        <w:t>. Except as supplemented and/or modified by this First Amendment, to the best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Landlord’s and Tenant’s actual knowledge, the Lease is in full force and effect and neither party is in default of its obligations under the Existing Lease and neither party has claims, offsets, or defenses to the enforcement of the Original Lease as previously amended. All other terms and conditions of the Lease, as amended hereby, shall remain in full force and effect, as so amended.</w:t>
      </w:r>
    </w:p>
    <w:p>
      <w:pPr>
        <w:spacing w:after="0" w:line="203" w:lineRule="exact"/>
        <w:rPr>
          <w:rFonts w:ascii="Times New Roman" w:cs="Times New Roman" w:eastAsia="Times New Roman" w:hAnsi="Times New Roman"/>
          <w:sz w:val="22"/>
          <w:szCs w:val="22"/>
          <w:b w:val="1"/>
          <w:bCs w:val="1"/>
          <w:color w:val="auto"/>
        </w:rPr>
      </w:pPr>
    </w:p>
    <w:p>
      <w:pPr>
        <w:jc w:val="both"/>
        <w:ind w:left="60" w:right="20" w:firstLine="837"/>
        <w:spacing w:after="0" w:line="238" w:lineRule="auto"/>
        <w:tabs>
          <w:tab w:leader="none" w:pos="1453"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Entirety</w:t>
      </w:r>
      <w:r>
        <w:rPr>
          <w:rFonts w:ascii="Times New Roman" w:cs="Times New Roman" w:eastAsia="Times New Roman" w:hAnsi="Times New Roman"/>
          <w:sz w:val="22"/>
          <w:szCs w:val="22"/>
          <w:color w:val="auto"/>
        </w:rPr>
        <w:t>. Except as provided in this First Amendment, the Existing Lease is the entire agreement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and there are no agreements or representations between the parties except as expressed herein. Moreover, no subsequent change or modification of the Lease shall be binding unless in writing and fully executed by Landlord and Tenant. In the event of a conflict between the terms, conditions, and provisions of the Existing Lease and this First Amendment, the terms, conditions, and provisions of this First Amendment shall control.</w:t>
      </w:r>
    </w:p>
    <w:p>
      <w:pPr>
        <w:spacing w:after="0" w:line="203" w:lineRule="exact"/>
        <w:rPr>
          <w:rFonts w:ascii="Times New Roman" w:cs="Times New Roman" w:eastAsia="Times New Roman" w:hAnsi="Times New Roman"/>
          <w:sz w:val="22"/>
          <w:szCs w:val="22"/>
          <w:b w:val="1"/>
          <w:bCs w:val="1"/>
          <w:color w:val="auto"/>
        </w:rPr>
      </w:pPr>
    </w:p>
    <w:p>
      <w:pPr>
        <w:jc w:val="both"/>
        <w:ind w:left="160" w:right="20" w:firstLine="746"/>
        <w:spacing w:after="0" w:line="244" w:lineRule="auto"/>
        <w:tabs>
          <w:tab w:leader="none" w:pos="1471"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 Any breach of default under any provision of this First Amendment shall be a breach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default under the Existing Lease and any breach or default under the Existing Lease shall be a breach of default under this First Amendment. All capitalized terms not defined herein shall have the meaning set forth in the Existing Lease.</w:t>
      </w:r>
    </w:p>
    <w:p>
      <w:pPr>
        <w:jc w:val="both"/>
        <w:ind w:left="160" w:right="20" w:firstLine="746"/>
        <w:spacing w:after="0" w:line="236" w:lineRule="auto"/>
        <w:tabs>
          <w:tab w:leader="none" w:pos="1471"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First Amendment maybe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and all of which, taken together, shall constitute one and the same instrument. Furthermore, this First Amendment may be executed and delivered by the exchange of electronic facsimile or digital transmission (e.g., email attachment in “PDF” format), or copies of counterparts of the signed documents, which counterparts shall be binding on the parties and such execution and delivery shall have the same force and effect as any other delivery of a manually signed original of this First Amendment.</w:t>
      </w:r>
    </w:p>
    <w:p>
      <w:pPr>
        <w:spacing w:after="0" w:line="205" w:lineRule="exact"/>
        <w:rPr>
          <w:rFonts w:ascii="Times New Roman" w:cs="Times New Roman" w:eastAsia="Times New Roman" w:hAnsi="Times New Roman"/>
          <w:sz w:val="22"/>
          <w:szCs w:val="22"/>
          <w:b w:val="1"/>
          <w:bCs w:val="1"/>
          <w:color w:val="auto"/>
        </w:rPr>
      </w:pPr>
    </w:p>
    <w:p>
      <w:pPr>
        <w:jc w:val="both"/>
        <w:ind w:left="160" w:firstLine="746"/>
        <w:spacing w:after="0" w:line="246" w:lineRule="auto"/>
        <w:tabs>
          <w:tab w:leader="none" w:pos="1472"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This First Amendment shall be effective only when it has been executed in writing by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when such First Amendment has been delivered by Landlord and Tenant to each other and on such date when the last signatory necessary to execute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527685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80" w:top="1408" w:right="439" w:bottom="1440" w:gutter="0" w:footer="0" w:header="0"/>
        </w:sectPr>
      </w:pPr>
    </w:p>
    <w:bookmarkStart w:id="116" w:name="page117"/>
    <w:bookmarkEnd w:id="116"/>
    <w:p>
      <w:pPr>
        <w:ind w:left="160"/>
        <w:spacing w:after="0"/>
        <w:rPr>
          <w:sz w:val="20"/>
          <w:szCs w:val="20"/>
          <w:color w:val="auto"/>
        </w:rPr>
      </w:pPr>
      <w:r>
        <w:rPr>
          <w:rFonts w:ascii="Times New Roman" w:cs="Times New Roman" w:eastAsia="Times New Roman" w:hAnsi="Times New Roman"/>
          <w:sz w:val="22"/>
          <w:szCs w:val="22"/>
          <w:color w:val="auto"/>
        </w:rPr>
        <w:t>this First Amendment shall have executed it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60" w:firstLine="659"/>
        <w:spacing w:after="0" w:line="238" w:lineRule="auto"/>
        <w:rPr>
          <w:sz w:val="20"/>
          <w:szCs w:val="20"/>
          <w:color w:val="auto"/>
        </w:rPr>
      </w:pPr>
      <w:r>
        <w:rPr>
          <w:rFonts w:ascii="Times New Roman" w:cs="Times New Roman" w:eastAsia="Times New Roman" w:hAnsi="Times New Roman"/>
          <w:sz w:val="22"/>
          <w:szCs w:val="22"/>
          <w:b w:val="1"/>
          <w:bCs w:val="1"/>
          <w:color w:val="auto"/>
        </w:rPr>
        <w:t>22.</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 delay or omission by either party in exercising any right or power under the Existing Lease 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Amendment shall impair any such right or constitute a waiver thereof, unless such waiver is set forth in a written instrument duly executed by that party. A waiver of any covenant, condition or term set forth in the Existing Lease or this First Amendment shall not be construed as a waiver of any succeeding breach of the same or other covenant, condition or term.</w:t>
      </w:r>
    </w:p>
    <w:p>
      <w:pPr>
        <w:spacing w:after="0" w:line="204" w:lineRule="exact"/>
        <w:rPr>
          <w:sz w:val="20"/>
          <w:szCs w:val="20"/>
          <w:color w:val="auto"/>
        </w:rPr>
      </w:pPr>
    </w:p>
    <w:p>
      <w:pPr>
        <w:ind w:left="1460" w:hanging="554"/>
        <w:spacing w:after="0"/>
        <w:tabs>
          <w:tab w:leader="none" w:pos="14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Time of Essence</w:t>
      </w:r>
      <w:r>
        <w:rPr>
          <w:rFonts w:ascii="Times New Roman" w:cs="Times New Roman" w:eastAsia="Times New Roman" w:hAnsi="Times New Roman"/>
          <w:sz w:val="22"/>
          <w:szCs w:val="22"/>
          <w:color w:val="auto"/>
        </w:rPr>
        <w:t>. Time is of the essence with regard to the time periods set forth in this First Amendment.</w:t>
      </w:r>
    </w:p>
    <w:p>
      <w:pPr>
        <w:spacing w:after="0" w:line="233" w:lineRule="exact"/>
        <w:rPr>
          <w:rFonts w:ascii="Times New Roman" w:cs="Times New Roman" w:eastAsia="Times New Roman" w:hAnsi="Times New Roman"/>
          <w:sz w:val="22"/>
          <w:szCs w:val="22"/>
          <w:b w:val="1"/>
          <w:bCs w:val="1"/>
          <w:color w:val="auto"/>
        </w:rPr>
      </w:pPr>
    </w:p>
    <w:p>
      <w:pPr>
        <w:jc w:val="both"/>
        <w:ind w:left="160" w:firstLine="746"/>
        <w:spacing w:after="0" w:line="233" w:lineRule="auto"/>
        <w:tabs>
          <w:tab w:leader="none" w:pos="1471"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Brokerage Commissions</w:t>
      </w:r>
      <w:r>
        <w:rPr>
          <w:rFonts w:ascii="Times New Roman" w:cs="Times New Roman" w:eastAsia="Times New Roman" w:hAnsi="Times New Roman"/>
          <w:sz w:val="22"/>
          <w:szCs w:val="22"/>
          <w:color w:val="auto"/>
        </w:rPr>
        <w:t>. Tenant warrants that it has not had any dealings with any real estate brokers,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leasing agents, salesmen, or incurred any obligations for the payment of real estate brokerage commissions or finder’s fees which would be earned or due and payable by reason of the execution of this First Amendment other than Jones Lang LaSalle. Landlord warrants that it has not had any dealings with any real estate brokers, leasing agents, salesmen, or incurred any obligations for the payment of real estate brokerage commissions or finder’s fees which would be earned or due and payable by reason of the execution of this First Amendment other than Newman Knight Frank and Deerfield Realty Corp. (the “</w:t>
      </w:r>
      <w:r>
        <w:rPr>
          <w:rFonts w:ascii="Times New Roman" w:cs="Times New Roman" w:eastAsia="Times New Roman" w:hAnsi="Times New Roman"/>
          <w:sz w:val="22"/>
          <w:szCs w:val="22"/>
          <w:b w:val="1"/>
          <w:bCs w:val="1"/>
          <w:color w:val="auto"/>
        </w:rPr>
        <w:t>Brokers</w:t>
      </w:r>
      <w:r>
        <w:rPr>
          <w:rFonts w:ascii="Times New Roman" w:cs="Times New Roman" w:eastAsia="Times New Roman" w:hAnsi="Times New Roman"/>
          <w:sz w:val="22"/>
          <w:szCs w:val="22"/>
          <w:color w:val="auto"/>
        </w:rPr>
        <w:t>”), which Brokers have represented Landlord. Landlord shall be solely responsible for the payment of Brokerage Commission to the above-identified real estate broker for both Landlord and Tenant pursuant to separate agreement. Tenant hereby agrees to and shall indemnify, defend, and hold harmless Landlord from and against any and all claims, liabilities, causes of action, damages, including reasonable attorneys’ fees and costs, arising out of any claims or causes of action that may be asserted against Landlord by any other broker, finder or other real estate agent with whom Tenant has purportedly dealt, in connection with the subject matter of this First Amendment. Landlord hereby agrees to and shall indemnify, defend and hold harmless Tenant from and against any and all claims, liabilities, causes of action, damages, including reasonable attorneys’ fees and costs, arising out of any claims or causes of action which may be asserted against Tenant by any other broker, finder, or other real estate agent with whom Landlord has purportedly dealt in connection with the subject matter of this First Amendment.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527685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350" w:right="459" w:bottom="1440" w:gutter="0" w:footer="0" w:header="0"/>
        </w:sectPr>
      </w:pPr>
    </w:p>
    <w:bookmarkStart w:id="117" w:name="page118"/>
    <w:bookmarkEnd w:id="117"/>
    <w:p>
      <w:pPr>
        <w:spacing w:after="0" w:line="181" w:lineRule="exact"/>
        <w:rPr>
          <w:sz w:val="20"/>
          <w:szCs w:val="20"/>
          <w:color w:val="auto"/>
        </w:rPr>
      </w:pPr>
    </w:p>
    <w:p>
      <w:pPr>
        <w:ind w:left="1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Landlord and Tenant have executed this First Amendment to Multi-Tenant Space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intent to be legally bound thereby, to be effective as of the Effective Date.</w:t>
      </w:r>
    </w:p>
    <w:p>
      <w:pPr>
        <w:spacing w:after="0" w:line="393" w:lineRule="exact"/>
        <w:rPr>
          <w:sz w:val="20"/>
          <w:szCs w:val="20"/>
          <w:color w:val="auto"/>
        </w:rPr>
      </w:pPr>
    </w:p>
    <w:p>
      <w:pPr>
        <w:ind w:left="260"/>
        <w:spacing w:after="0"/>
        <w:tabs>
          <w:tab w:leader="none" w:pos="1980" w:val="left"/>
        </w:tabs>
        <w:rPr>
          <w:sz w:val="20"/>
          <w:szCs w:val="20"/>
          <w:color w:val="auto"/>
        </w:rPr>
      </w:pP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TENANT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Deerfield Campbell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 California limited liability company</w:t>
      </w:r>
    </w:p>
    <w:p>
      <w:pPr>
        <w:spacing w:after="0" w:line="3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Tito J. Bianchi</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Name: Tito J. Bianchi, President of Deerfield Reality Corporation</w:t>
      </w:r>
    </w:p>
    <w:p>
      <w:pPr>
        <w:ind w:left="260"/>
        <w:spacing w:after="0"/>
        <w:rPr>
          <w:sz w:val="20"/>
          <w:szCs w:val="20"/>
          <w:color w:val="auto"/>
        </w:rPr>
      </w:pPr>
      <w:r>
        <w:rPr>
          <w:rFonts w:ascii="Times New Roman" w:cs="Times New Roman" w:eastAsia="Times New Roman" w:hAnsi="Times New Roman"/>
          <w:sz w:val="22"/>
          <w:szCs w:val="22"/>
          <w:color w:val="auto"/>
        </w:rPr>
        <w:t>Its: Manager</w:t>
      </w: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u w:val="single" w:color="auto"/>
          <w:color w:val="auto"/>
        </w:rPr>
        <w:t>Dated: 12/15/2023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518795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18" w:name="page119"/>
    <w:bookmarkEnd w:id="118"/>
    <w:p>
      <w:pPr>
        <w:ind w:left="140"/>
        <w:spacing w:after="0"/>
        <w:rPr>
          <w:sz w:val="20"/>
          <w:szCs w:val="20"/>
          <w:color w:val="auto"/>
        </w:rPr>
      </w:pPr>
      <w:r>
        <w:rPr>
          <w:rFonts w:ascii="Times New Roman" w:cs="Times New Roman" w:eastAsia="Times New Roman" w:hAnsi="Times New Roman"/>
          <w:sz w:val="22"/>
          <w:szCs w:val="22"/>
          <w:b w:val="1"/>
          <w:bCs w:val="1"/>
          <w:color w:val="auto"/>
        </w:rPr>
        <w:t>Sight Sciences,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3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By:/s/Alison Bauerlein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-13970</wp:posOffset>
            </wp:positionV>
            <wp:extent cx="1104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110490" cy="889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22"/>
          <w:szCs w:val="22"/>
          <w:u w:val="single" w:color="auto"/>
          <w:color w:val="auto"/>
        </w:rPr>
        <w:t>Name: Alison Bauerlein</w:t>
      </w:r>
    </w:p>
    <w:p>
      <w:pPr>
        <w:ind w:left="140"/>
        <w:spacing w:after="0"/>
        <w:rPr>
          <w:sz w:val="20"/>
          <w:szCs w:val="20"/>
          <w:color w:val="auto"/>
        </w:rPr>
      </w:pPr>
      <w:r>
        <w:rPr>
          <w:rFonts w:ascii="Times New Roman" w:cs="Times New Roman" w:eastAsia="Times New Roman" w:hAnsi="Times New Roman"/>
          <w:sz w:val="21"/>
          <w:szCs w:val="21"/>
          <w:color w:val="auto"/>
        </w:rPr>
        <w:t xml:space="preserve">Its: </w:t>
      </w:r>
      <w:r>
        <w:rPr>
          <w:rFonts w:ascii="Times New Roman" w:cs="Times New Roman" w:eastAsia="Times New Roman" w:hAnsi="Times New Roman"/>
          <w:sz w:val="21"/>
          <w:szCs w:val="21"/>
          <w:u w:val="single" w:color="auto"/>
          <w:color w:val="auto"/>
        </w:rPr>
        <w:t>Chief Financial Officer</w:t>
      </w:r>
    </w:p>
    <w:p>
      <w:pPr>
        <w:spacing w:after="0" w:line="200" w:lineRule="exact"/>
        <w:rPr>
          <w:sz w:val="20"/>
          <w:szCs w:val="20"/>
          <w:color w:val="auto"/>
        </w:rPr>
      </w:pPr>
    </w:p>
    <w:p>
      <w:pPr>
        <w:spacing w:after="0" w:line="2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u w:val="single" w:color="auto"/>
          <w:color w:val="auto"/>
        </w:rPr>
        <w:t>Dated: 12/15/2023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527685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404"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90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Subsidiaries of Sight Sciences, Inc.</w:t>
            </w:r>
          </w:p>
        </w:tc>
        <w:tc>
          <w:tcPr>
            <w:tcW w:w="840" w:type="dxa"/>
            <w:vAlign w:val="bottom"/>
          </w:tcPr>
          <w:p>
            <w:pPr>
              <w:spacing w:after="0"/>
              <w:rPr>
                <w:sz w:val="20"/>
                <w:szCs w:val="20"/>
                <w:color w:val="auto"/>
              </w:rPr>
            </w:pPr>
          </w:p>
        </w:tc>
      </w:tr>
      <w:tr>
        <w:trPr>
          <w:trHeight w:val="405"/>
        </w:trPr>
        <w:tc>
          <w:tcPr>
            <w:tcW w:w="860" w:type="dxa"/>
            <w:vAlign w:val="bottom"/>
          </w:tcPr>
          <w:p>
            <w:pPr>
              <w:spacing w:after="0"/>
              <w:rPr>
                <w:sz w:val="24"/>
                <w:szCs w:val="24"/>
                <w:color w:val="auto"/>
              </w:rPr>
            </w:pPr>
          </w:p>
        </w:tc>
        <w:tc>
          <w:tcPr>
            <w:tcW w:w="2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Legal Name of Subsidiary</w:t>
            </w:r>
          </w:p>
        </w:tc>
        <w:tc>
          <w:tcPr>
            <w:tcW w:w="1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c>
          <w:tcPr>
            <w:tcW w:w="840" w:type="dxa"/>
            <w:vAlign w:val="bottom"/>
          </w:tcPr>
          <w:p>
            <w:pPr>
              <w:spacing w:after="0"/>
              <w:rPr>
                <w:sz w:val="24"/>
                <w:szCs w:val="24"/>
                <w:color w:val="auto"/>
              </w:rPr>
            </w:pPr>
          </w:p>
        </w:tc>
      </w:tr>
      <w:tr>
        <w:trPr>
          <w:trHeight w:val="250"/>
        </w:trPr>
        <w:tc>
          <w:tcPr>
            <w:tcW w:w="860" w:type="dxa"/>
            <w:vAlign w:val="bottom"/>
          </w:tcPr>
          <w:p>
            <w:pPr>
              <w:spacing w:after="0"/>
              <w:rPr>
                <w:sz w:val="21"/>
                <w:szCs w:val="21"/>
                <w:color w:val="auto"/>
              </w:rPr>
            </w:pPr>
          </w:p>
        </w:tc>
        <w:tc>
          <w:tcPr>
            <w:tcW w:w="2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Sight Sciences UK, Ltd.</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840" w:type="dxa"/>
            <w:vAlign w:val="bottom"/>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Sight Sciences GmbH</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840" w:type="dxa"/>
            <w:vAlign w:val="bottom"/>
          </w:tcPr>
          <w:p>
            <w:pPr>
              <w:spacing w:after="0"/>
              <w:rPr>
                <w:sz w:val="21"/>
                <w:szCs w:val="21"/>
                <w:color w:val="auto"/>
              </w:rPr>
            </w:pPr>
          </w:p>
        </w:tc>
      </w:tr>
      <w:tr>
        <w:trPr>
          <w:trHeight w:val="1776"/>
        </w:trPr>
        <w:tc>
          <w:tcPr>
            <w:tcW w:w="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-1468120</wp:posOffset>
            </wp:positionV>
            <wp:extent cx="171450"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171450" cy="1143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consent to the incorporation by reference in Registration Statements No. 333-270629 on Form S-3 and Nos. 333-257936 and 333-270627 on Form S-8 of our report dated March 12, 2024 relating to the consolidated financial statements of Sight Sciences, Inc., appearing in this Annual Report on Form 10-K of Sight Sciences, Inc. for the year ended December 31,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7"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Paul Badawi and Alison Bauerlein, and each of them individually, his and her true and lawful attorneys-in-fact and agents, with full power of substitution and resubstitution, for him and her and in his and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Signature</w:t>
            </w:r>
          </w:p>
        </w:tc>
        <w:tc>
          <w:tcPr>
            <w:tcW w:w="120" w:type="dxa"/>
            <w:vAlign w:val="bottom"/>
          </w:tcPr>
          <w:p>
            <w:pPr>
              <w:spacing w:after="0"/>
              <w:rPr>
                <w:sz w:val="16"/>
                <w:szCs w:val="16"/>
                <w:color w:val="auto"/>
              </w:rPr>
            </w:pPr>
          </w:p>
        </w:tc>
        <w:tc>
          <w:tcPr>
            <w:tcW w:w="52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1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Paul Badawi</w:t>
            </w:r>
          </w:p>
        </w:tc>
        <w:tc>
          <w:tcPr>
            <w:tcW w:w="12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227"/>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Paul Badawi</w:t>
            </w:r>
          </w:p>
        </w:tc>
        <w:tc>
          <w:tcPr>
            <w:tcW w:w="1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0"/>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Alison Bauerlein</w:t>
            </w:r>
          </w:p>
        </w:tc>
        <w:tc>
          <w:tcPr>
            <w:tcW w:w="12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227"/>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Alison Bauerlein</w:t>
            </w:r>
          </w:p>
        </w:tc>
        <w:tc>
          <w:tcPr>
            <w:tcW w:w="1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0"/>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Staffan Encrantz</w:t>
            </w:r>
          </w:p>
        </w:tc>
        <w:tc>
          <w:tcPr>
            <w:tcW w:w="12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Staffan Encrantz</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96"/>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David Badawi</w:t>
            </w:r>
          </w:p>
        </w:tc>
        <w:tc>
          <w:tcPr>
            <w:tcW w:w="120" w:type="dxa"/>
            <w:vAlign w:val="bottom"/>
          </w:tcPr>
          <w:p>
            <w:pPr>
              <w:spacing w:after="0"/>
              <w:rPr>
                <w:sz w:val="24"/>
                <w:szCs w:val="24"/>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David Badawi, M.D.</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96"/>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Tamara Fountain</w:t>
            </w:r>
          </w:p>
        </w:tc>
        <w:tc>
          <w:tcPr>
            <w:tcW w:w="120" w:type="dxa"/>
            <w:vAlign w:val="bottom"/>
          </w:tcPr>
          <w:p>
            <w:pPr>
              <w:spacing w:after="0"/>
              <w:rPr>
                <w:sz w:val="24"/>
                <w:szCs w:val="24"/>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Tamara Fountain, M.D.</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96"/>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Brenda Becker</w:t>
            </w:r>
          </w:p>
        </w:tc>
        <w:tc>
          <w:tcPr>
            <w:tcW w:w="120" w:type="dxa"/>
            <w:vAlign w:val="bottom"/>
          </w:tcPr>
          <w:p>
            <w:pPr>
              <w:spacing w:after="0"/>
              <w:rPr>
                <w:sz w:val="24"/>
                <w:szCs w:val="24"/>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Brenda Becker</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96"/>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Erica Rogers</w:t>
            </w:r>
          </w:p>
        </w:tc>
        <w:tc>
          <w:tcPr>
            <w:tcW w:w="120" w:type="dxa"/>
            <w:vAlign w:val="bottom"/>
          </w:tcPr>
          <w:p>
            <w:pPr>
              <w:spacing w:after="0"/>
              <w:rPr>
                <w:sz w:val="24"/>
                <w:szCs w:val="24"/>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Erica Rogers</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96"/>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Catherine Mazzacco</w:t>
            </w:r>
          </w:p>
        </w:tc>
        <w:tc>
          <w:tcPr>
            <w:tcW w:w="120" w:type="dxa"/>
            <w:vAlign w:val="bottom"/>
          </w:tcPr>
          <w:p>
            <w:pPr>
              <w:spacing w:after="0"/>
              <w:rPr>
                <w:sz w:val="24"/>
                <w:szCs w:val="24"/>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Catherine Mazzacco</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96"/>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Donald Zurbay</w:t>
            </w:r>
          </w:p>
        </w:tc>
        <w:tc>
          <w:tcPr>
            <w:tcW w:w="120" w:type="dxa"/>
            <w:vAlign w:val="bottom"/>
          </w:tcPr>
          <w:p>
            <w:pPr>
              <w:spacing w:after="0"/>
              <w:rPr>
                <w:sz w:val="24"/>
                <w:szCs w:val="24"/>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2024</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Donald Zurbay</w:t>
            </w:r>
          </w:p>
        </w:tc>
        <w:tc>
          <w:tcPr>
            <w:tcW w:w="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327"/>
        </w:trPr>
        <w:tc>
          <w:tcPr>
            <w:tcW w:w="3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Badawi, certify that:</w:t>
      </w:r>
    </w:p>
    <w:p>
      <w:pPr>
        <w:spacing w:after="0" w:line="225"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Sight 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369"/>
        <w:spacing w:after="0" w:line="282"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369"/>
        <w:spacing w:after="0" w:line="282"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12, 2024</w:t>
      </w:r>
    </w:p>
    <w:p>
      <w:pPr>
        <w:spacing w:after="0" w:line="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Paul Badawi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26035</wp:posOffset>
            </wp:positionV>
            <wp:extent cx="36690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Paul Badawi</w:t>
      </w:r>
    </w:p>
    <w:p>
      <w:pPr>
        <w:spacing w:after="0" w:line="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Alison Bauerlein, certify that:</w:t>
      </w:r>
    </w:p>
    <w:p>
      <w:pPr>
        <w:spacing w:after="0" w:line="22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Sight 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369"/>
        <w:spacing w:after="0" w:line="282"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369"/>
        <w:spacing w:after="0" w:line="282"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2024</w:t>
      </w:r>
    </w:p>
    <w:p>
      <w:pPr>
        <w:spacing w:after="0" w:line="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Alison Bauerlein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26035</wp:posOffset>
            </wp:positionV>
            <wp:extent cx="37973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2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Alison Bauerlein</w:t>
      </w:r>
    </w:p>
    <w:p>
      <w:pPr>
        <w:spacing w:after="0" w:line="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right="540" w:firstLine="360"/>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Sight Sciences,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to his knowledge:</w:t>
      </w:r>
    </w:p>
    <w:p>
      <w:pPr>
        <w:spacing w:after="0" w:line="162" w:lineRule="exact"/>
        <w:rPr>
          <w:sz w:val="20"/>
          <w:szCs w:val="20"/>
          <w:color w:val="auto"/>
        </w:rPr>
      </w:pPr>
    </w:p>
    <w:p>
      <w:pPr>
        <w:ind w:left="1260" w:right="560" w:hanging="743"/>
        <w:spacing w:after="0" w:line="282"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2023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260" w:right="320" w:hanging="743"/>
        <w:spacing w:after="0" w:line="282"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12, 2024</w:t>
            </w: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Badawi</w:t>
            </w:r>
          </w:p>
        </w:tc>
        <w:tc>
          <w:tcPr>
            <w:tcW w:w="100" w:type="dxa"/>
            <w:vAlign w:val="bottom"/>
          </w:tcPr>
          <w:p>
            <w:pPr>
              <w:spacing w:after="0"/>
              <w:rPr>
                <w:sz w:val="17"/>
                <w:szCs w:val="17"/>
                <w:color w:val="auto"/>
              </w:rPr>
            </w:pPr>
          </w:p>
        </w:tc>
      </w:tr>
      <w:tr>
        <w:trPr>
          <w:trHeight w:val="218"/>
        </w:trPr>
        <w:tc>
          <w:tcPr>
            <w:tcW w:w="4280" w:type="dxa"/>
            <w:vAlign w:val="bottom"/>
          </w:tcPr>
          <w:p>
            <w:pPr>
              <w:spacing w:after="0"/>
              <w:rPr>
                <w:sz w:val="18"/>
                <w:szCs w:val="18"/>
                <w:color w:val="auto"/>
              </w:rPr>
            </w:pPr>
          </w:p>
        </w:tc>
        <w:tc>
          <w:tcPr>
            <w:tcW w:w="2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Paul Badawi</w:t>
            </w:r>
          </w:p>
        </w:tc>
      </w:tr>
      <w:tr>
        <w:trPr>
          <w:trHeight w:val="234"/>
        </w:trPr>
        <w:tc>
          <w:tcPr>
            <w:tcW w:w="4280" w:type="dxa"/>
            <w:vAlign w:val="bottom"/>
          </w:tcPr>
          <w:p>
            <w:pPr>
              <w:spacing w:after="0"/>
              <w:rPr>
                <w:sz w:val="20"/>
                <w:szCs w:val="20"/>
                <w:color w:val="auto"/>
              </w:rPr>
            </w:pPr>
          </w:p>
        </w:tc>
        <w:tc>
          <w:tcPr>
            <w:tcW w:w="2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8"/>
              </w:rPr>
              <w:t>Chief Executive Officer</w:t>
            </w:r>
          </w:p>
        </w:tc>
      </w:tr>
    </w:tbl>
    <w:p>
      <w:pPr>
        <w:spacing w:after="0" w:line="19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1139190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right="580" w:firstLine="360"/>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Sight Sciences, Inc.(the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to his knowledge:</w:t>
      </w:r>
    </w:p>
    <w:p>
      <w:pPr>
        <w:spacing w:after="0" w:line="162" w:lineRule="exact"/>
        <w:rPr>
          <w:sz w:val="20"/>
          <w:szCs w:val="20"/>
          <w:color w:val="auto"/>
        </w:rPr>
      </w:pPr>
    </w:p>
    <w:p>
      <w:pPr>
        <w:ind w:left="1260" w:right="560" w:hanging="743"/>
        <w:spacing w:after="0" w:line="282" w:lineRule="auto"/>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2023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260" w:right="320" w:hanging="743"/>
        <w:spacing w:after="0" w:line="282" w:lineRule="auto"/>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12, 2024</w:t>
            </w: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Bauerlein</w:t>
            </w:r>
          </w:p>
        </w:tc>
        <w:tc>
          <w:tcPr>
            <w:tcW w:w="800" w:type="dxa"/>
            <w:vAlign w:val="bottom"/>
          </w:tcPr>
          <w:p>
            <w:pPr>
              <w:spacing w:after="0"/>
              <w:rPr>
                <w:sz w:val="17"/>
                <w:szCs w:val="17"/>
                <w:color w:val="auto"/>
              </w:rPr>
            </w:pPr>
          </w:p>
        </w:tc>
      </w:tr>
      <w:tr>
        <w:trPr>
          <w:trHeight w:val="218"/>
        </w:trPr>
        <w:tc>
          <w:tcPr>
            <w:tcW w:w="4560" w:type="dxa"/>
            <w:vAlign w:val="bottom"/>
          </w:tcPr>
          <w:p>
            <w:pPr>
              <w:spacing w:after="0"/>
              <w:rPr>
                <w:sz w:val="18"/>
                <w:szCs w:val="18"/>
                <w:color w:val="auto"/>
              </w:rPr>
            </w:pPr>
          </w:p>
        </w:tc>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Alison Bauerlein</w:t>
            </w:r>
          </w:p>
        </w:tc>
      </w:tr>
      <w:tr>
        <w:trPr>
          <w:trHeight w:val="234"/>
        </w:trPr>
        <w:tc>
          <w:tcPr>
            <w:tcW w:w="4560" w:type="dxa"/>
            <w:vAlign w:val="bottom"/>
          </w:tcPr>
          <w:p>
            <w:pPr>
              <w:spacing w:after="0"/>
              <w:rPr>
                <w:sz w:val="20"/>
                <w:szCs w:val="20"/>
                <w:color w:val="auto"/>
              </w:rPr>
            </w:pPr>
          </w:p>
        </w:tc>
        <w:tc>
          <w:tcPr>
            <w:tcW w:w="23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19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SIGHT SCIENCES,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Sight Sciences,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66" w:lineRule="exact"/>
        <w:rPr>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10" w:lineRule="exact"/>
        <w:rPr>
          <w:rFonts w:ascii="Times New Roman" w:cs="Times New Roman" w:eastAsia="Times New Roman" w:hAnsi="Times New Roman"/>
          <w:sz w:val="22"/>
          <w:szCs w:val="22"/>
          <w:b w:val="1"/>
          <w:bCs w:val="1"/>
          <w:u w:val="single" w:color="auto"/>
          <w:color w:val="auto"/>
        </w:rPr>
      </w:pPr>
    </w:p>
    <w:p>
      <w:pPr>
        <w:ind w:left="760"/>
        <w:spacing w:after="0"/>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This Policy shall apply to current and former Officers of the Company.</w:t>
      </w:r>
    </w:p>
    <w:p>
      <w:pPr>
        <w:spacing w:after="0" w:line="202" w:lineRule="exact"/>
        <w:rPr>
          <w:rFonts w:ascii="Times New Roman" w:cs="Times New Roman" w:eastAsia="Times New Roman" w:hAnsi="Times New Roman"/>
          <w:sz w:val="22"/>
          <w:szCs w:val="22"/>
          <w:b w:val="1"/>
          <w:bCs w:val="1"/>
          <w:u w:val="single" w:color="auto"/>
          <w:color w:val="auto"/>
        </w:rPr>
      </w:pPr>
    </w:p>
    <w:p>
      <w:pPr>
        <w:ind w:left="440" w:hanging="432"/>
        <w:spacing w:after="0"/>
        <w:tabs>
          <w:tab w:leader="none" w:pos="44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fiscal period during which the relevant Financial Reporting Measure is attained or satisfied, without regard to whether the grant, vesting or payment of the Incentive-Based Compensation occurs thereafter.</w:t>
      </w:r>
    </w:p>
    <w:p>
      <w:pPr>
        <w:spacing w:after="0" w:line="173" w:lineRule="exact"/>
        <w:rPr>
          <w:sz w:val="20"/>
          <w:szCs w:val="20"/>
          <w:color w:val="auto"/>
        </w:rPr>
      </w:pPr>
    </w:p>
    <w:p>
      <w:pPr>
        <w:ind w:left="440" w:hanging="432"/>
        <w:spacing w:after="0"/>
        <w:tabs>
          <w:tab w:leader="none" w:pos="4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4" w:lineRule="exact"/>
        <w:rPr>
          <w:sz w:val="20"/>
          <w:szCs w:val="20"/>
          <w:color w:val="auto"/>
        </w:rPr>
      </w:pPr>
    </w:p>
    <w:p>
      <w:pPr>
        <w:ind w:left="440" w:hanging="432"/>
        <w:spacing w:after="0"/>
        <w:tabs>
          <w:tab w:leader="none" w:pos="44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39" w:lineRule="auto"/>
        <w:rPr>
          <w:sz w:val="20"/>
          <w:szCs w:val="20"/>
          <w:color w:val="auto"/>
        </w:rPr>
      </w:pPr>
      <w:r>
        <w:rPr>
          <w:rFonts w:ascii="Times New Roman" w:cs="Times New Roman" w:eastAsia="Times New Roman" w:hAnsi="Times New Roman"/>
          <w:sz w:val="22"/>
          <w:szCs w:val="22"/>
          <w:color w:val="auto"/>
        </w:rPr>
        <w:t>Awarded Compensation already recovered by the Company pursuant to Section 304 of the Sarbanes-Oxley Act of 2002 or Other Recovery Arrangements (as defined in Section 8),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6" w:lineRule="exact"/>
        <w:rPr>
          <w:sz w:val="20"/>
          <w:szCs w:val="20"/>
          <w:color w:val="auto"/>
        </w:rPr>
      </w:pPr>
    </w:p>
    <w:p>
      <w:pPr>
        <w:ind w:left="440" w:hanging="432"/>
        <w:spacing w:after="0"/>
        <w:tabs>
          <w:tab w:leader="none" w:pos="44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 holders and employees. The Committee may delegate administrative duties with respect to this Policy to one or more directors or employees of the Company, as permitted under applicable law, including any Applicable Rules.</w:t>
      </w:r>
    </w:p>
    <w:p>
      <w:pPr>
        <w:spacing w:after="0" w:line="168" w:lineRule="exact"/>
        <w:rPr>
          <w:sz w:val="20"/>
          <w:szCs w:val="20"/>
          <w:color w:val="auto"/>
        </w:rPr>
      </w:pPr>
    </w:p>
    <w:p>
      <w:pPr>
        <w:ind w:left="440" w:hanging="432"/>
        <w:spacing w:after="0"/>
        <w:tabs>
          <w:tab w:leader="none" w:pos="4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9"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3" w:lineRule="exact"/>
        <w:rPr>
          <w:sz w:val="20"/>
          <w:szCs w:val="20"/>
          <w:color w:val="auto"/>
        </w:rPr>
      </w:pPr>
    </w:p>
    <w:p>
      <w:pPr>
        <w:ind w:left="440" w:hanging="432"/>
        <w:spacing w:after="0"/>
        <w:tabs>
          <w:tab w:leader="none" w:pos="44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color w:val="auto"/>
        </w:rPr>
        <w:t>right or remedy at law or in equity that may be available to the Company or an affiliate of the Company.</w:t>
      </w:r>
    </w:p>
    <w:p>
      <w:pPr>
        <w:spacing w:after="0" w:line="202" w:lineRule="exact"/>
        <w:rPr>
          <w:sz w:val="20"/>
          <w:szCs w:val="20"/>
          <w:color w:val="auto"/>
        </w:rPr>
      </w:pPr>
    </w:p>
    <w:p>
      <w:pPr>
        <w:ind w:left="440" w:hanging="432"/>
        <w:spacing w:after="0"/>
        <w:tabs>
          <w:tab w:leader="none" w:pos="4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ind w:left="440" w:hanging="432"/>
        <w:spacing w:after="0"/>
        <w:tabs>
          <w:tab w:leader="none" w:pos="44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9" w:lineRule="exact"/>
        <w:rPr>
          <w:sz w:val="20"/>
          <w:szCs w:val="20"/>
          <w:color w:val="auto"/>
        </w:rPr>
      </w:pPr>
    </w:p>
    <w:p>
      <w:pPr>
        <w:ind w:left="440" w:hanging="432"/>
        <w:spacing w:after="0"/>
        <w:tabs>
          <w:tab w:leader="none" w:pos="4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36" w:lineRule="exact"/>
        <w:rPr>
          <w:rFonts w:ascii="Times New Roman" w:cs="Times New Roman" w:eastAsia="Times New Roman" w:hAnsi="Times New Roman"/>
          <w:sz w:val="22"/>
          <w:szCs w:val="22"/>
          <w:b w:val="1"/>
          <w:bCs w:val="1"/>
          <w:color w:val="auto"/>
        </w:rPr>
      </w:pPr>
    </w:p>
    <w:p>
      <w:pPr>
        <w:jc w:val="both"/>
        <w:ind w:firstLine="432"/>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91"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 holder return.</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0" w:name="page131"/>
    <w:bookmarkEnd w:id="13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43" w:lineRule="exact"/>
        <w:rPr>
          <w:sz w:val="20"/>
          <w:szCs w:val="20"/>
          <w:color w:val="auto"/>
        </w:rPr>
      </w:pPr>
    </w:p>
    <w:p>
      <w:pPr>
        <w:jc w:val="both"/>
        <w:ind w:right="20" w:firstLine="749"/>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1(d) under the Exchange Act.</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37" w:lineRule="auto"/>
        <w:tabs>
          <w:tab w:leader="none" w:pos="31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fiscal year) within or immediately following the three completed fiscal years identified in the preceding sentence. However, a</w:t>
      </w:r>
    </w:p>
    <w:p>
      <w:pPr>
        <w:spacing w:after="0" w:line="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31" w:name="page132"/>
    <w:bookmarkEnd w:id="1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1"/>
    </w:lvl>
    <w:lvl w:ilvl="1">
      <w:lvlJc w:val="left"/>
      <w:lvlText w:val="(%2)"/>
      <w:numFmt w:val="decimal"/>
      <w:start w:val="2"/>
    </w:lvl>
  </w:abstractNum>
  <w:abstractNum w:abstractNumId="47">
    <w:nsid w:val="354FE9F9"/>
    <w:multiLevelType w:val="hybridMultilevel"/>
    <w:lvl w:ilvl="0">
      <w:lvlJc w:val="left"/>
      <w:lvlText w:val="(%1)"/>
      <w:numFmt w:val="lowerLetter"/>
      <w:start w:val="2"/>
    </w:lvl>
    <w:lvl w:ilvl="1">
      <w:lvlJc w:val="left"/>
      <w:lvlText w:val="%2"/>
      <w:numFmt w:val="decimal"/>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upperLetter"/>
      <w:start w:val="1"/>
    </w:lvl>
  </w:abstractNum>
  <w:abstractNum w:abstractNumId="50">
    <w:nsid w:val="D34B6A8"/>
    <w:multiLevelType w:val="hybridMultilevel"/>
    <w:lvl w:ilvl="0">
      <w:lvlJc w:val="left"/>
      <w:lvlText w:val="%1"/>
      <w:numFmt w:val="decimal"/>
      <w:start w:val="1"/>
    </w:lvl>
    <w:lvl w:ilvl="1">
      <w:lvlJc w:val="left"/>
      <w:lvlText w:val="%2."/>
      <w:numFmt w:val="decimal"/>
      <w:start w:val="1"/>
    </w:lvl>
  </w:abstractNum>
  <w:abstractNum w:abstractNumId="51">
    <w:nsid w:val="10233C99"/>
    <w:multiLevelType w:val="hybridMultilevel"/>
    <w:lvl w:ilvl="0">
      <w:lvlJc w:val="left"/>
      <w:lvlText w:val="(%1)"/>
      <w:numFmt w:val="decimal"/>
      <w:start w:val="26"/>
    </w:lvl>
    <w:lvl w:ilvl="1">
      <w:lvlJc w:val="left"/>
      <w:lvlText w:val="%2."/>
      <w:numFmt w:val="decimal"/>
      <w:start w:val="3"/>
    </w:lvl>
  </w:abstractNum>
  <w:abstractNum w:abstractNumId="52">
    <w:nsid w:val="3F6AB60F"/>
    <w:multiLevelType w:val="hybridMultilevel"/>
    <w:lvl w:ilvl="0">
      <w:lvlJc w:val="left"/>
      <w:lvlText w:val="%1."/>
      <w:numFmt w:val="decimal"/>
      <w:start w:val="5"/>
    </w:lvl>
  </w:abstractNum>
  <w:abstractNum w:abstractNumId="53">
    <w:nsid w:val="61574095"/>
    <w:multiLevelType w:val="hybridMultilevel"/>
    <w:lvl w:ilvl="0">
      <w:lvlJc w:val="left"/>
      <w:lvlText w:val="%1."/>
      <w:numFmt w:val="decimal"/>
      <w:start w:val="14"/>
    </w:lvl>
  </w:abstractNum>
  <w:abstractNum w:abstractNumId="54">
    <w:nsid w:val="7E0C57B1"/>
    <w:multiLevelType w:val="hybridMultilevel"/>
    <w:lvl w:ilvl="0">
      <w:lvlJc w:val="left"/>
      <w:lvlText w:val="%1."/>
      <w:numFmt w:val="decimal"/>
      <w:start w:val="23"/>
    </w:lvl>
  </w:abstractNum>
  <w:abstractNum w:abstractNumId="55">
    <w:nsid w:val="77AE35EB"/>
    <w:multiLevelType w:val="hybridMultilevel"/>
    <w:lvl w:ilvl="0">
      <w:lvlJc w:val="left"/>
      <w:lvlText w:val="%1."/>
      <w:numFmt w:val="decimal"/>
      <w:start w:val="1"/>
    </w:lvl>
    <w:lvl w:ilvl="1">
      <w:lvlJc w:val="left"/>
      <w:lvlText w:val="%2)"/>
      <w:numFmt w:val="lowerLetter"/>
      <w:start w:val="1"/>
    </w:lvl>
  </w:abstractNum>
  <w:abstractNum w:abstractNumId="56">
    <w:nsid w:val="579BE4F1"/>
    <w:multiLevelType w:val="hybridMultilevel"/>
    <w:lvl w:ilvl="0">
      <w:lvlJc w:val="left"/>
      <w:lvlText w:val="%1."/>
      <w:numFmt w:val="decimal"/>
      <w:start w:val="1"/>
    </w:lvl>
    <w:lvl w:ilvl="1">
      <w:lvlJc w:val="left"/>
      <w:lvlText w:val="%2."/>
      <w:numFmt w:val="lowerLetter"/>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3"/>
    </w:lvl>
  </w:abstractNum>
  <w:abstractNum w:abstractNumId="61">
    <w:nsid w:val="1DBABF00"/>
    <w:multiLevelType w:val="hybridMultilevel"/>
    <w:lvl w:ilvl="0">
      <w:lvlJc w:val="left"/>
      <w:lvlText w:val="%1."/>
      <w:numFmt w:val="decimal"/>
      <w:start w:val="4"/>
    </w:lvl>
  </w:abstractNum>
  <w:abstractNum w:abstractNumId="62">
    <w:nsid w:val="4AD084E9"/>
    <w:multiLevelType w:val="hybridMultilevel"/>
    <w:lvl w:ilvl="0">
      <w:lvlJc w:val="left"/>
      <w:lvlText w:val="%1."/>
      <w:numFmt w:val="decimal"/>
      <w:start w:val="5"/>
    </w:lvl>
  </w:abstractNum>
  <w:abstractNum w:abstractNumId="63">
    <w:nsid w:val="1F48EAA1"/>
    <w:multiLevelType w:val="hybridMultilevel"/>
    <w:lvl w:ilvl="0">
      <w:lvlJc w:val="left"/>
      <w:lvlText w:val="%1."/>
      <w:numFmt w:val="decimal"/>
      <w:start w:val="6"/>
    </w:lvl>
  </w:abstractNum>
  <w:abstractNum w:abstractNumId="64">
    <w:nsid w:val="1381823A"/>
    <w:multiLevelType w:val="hybridMultilevel"/>
    <w:lvl w:ilvl="0">
      <w:lvlJc w:val="left"/>
      <w:lvlText w:val="%1."/>
      <w:numFmt w:val="decimal"/>
      <w:start w:val="7"/>
    </w:lvl>
  </w:abstractNum>
  <w:abstractNum w:abstractNumId="65">
    <w:nsid w:val="5DB70AE5"/>
    <w:multiLevelType w:val="hybridMultilevel"/>
    <w:lvl w:ilvl="0">
      <w:lvlJc w:val="left"/>
      <w:lvlText w:val="%1."/>
      <w:numFmt w:val="decimal"/>
      <w:start w:val="8"/>
    </w:lvl>
  </w:abstractNum>
  <w:abstractNum w:abstractNumId="66">
    <w:nsid w:val="100F8FCA"/>
    <w:multiLevelType w:val="hybridMultilevel"/>
    <w:lvl w:ilvl="0">
      <w:lvlJc w:val="left"/>
      <w:lvlText w:val="%1."/>
      <w:numFmt w:val="decimal"/>
      <w:start w:val="9"/>
    </w:lvl>
  </w:abstractNum>
  <w:abstractNum w:abstractNumId="67">
    <w:nsid w:val="6590700B"/>
    <w:multiLevelType w:val="hybridMultilevel"/>
    <w:lvl w:ilvl="0">
      <w:lvlJc w:val="left"/>
      <w:lvlText w:val="%1."/>
      <w:numFmt w:val="decimal"/>
      <w:start w:val="10"/>
    </w:lvl>
  </w:abstractNum>
  <w:abstractNum w:abstractNumId="68">
    <w:nsid w:val="15014ACB"/>
    <w:multiLevelType w:val="hybridMultilevel"/>
    <w:lvl w:ilvl="0">
      <w:lvlJc w:val="left"/>
      <w:lvlText w:val="%1."/>
      <w:numFmt w:val="decimal"/>
      <w:start w:val="11"/>
    </w:lvl>
    <w:lvl w:ilvl="1">
      <w:lvlJc w:val="left"/>
      <w:lvlText w:val="\ldblquote"/>
      <w:numFmt w:val="bullet"/>
      <w:start w:val="1"/>
    </w:lvl>
  </w:abstractNum>
  <w:abstractNum w:abstractNumId="69">
    <w:nsid w:val="5F5E7FD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259" Type="http://schemas.openxmlformats.org/officeDocument/2006/relationships/hyperlink" Target="https://www.sec.gov/Archives/edgar/data/1531177/000119312521218705/d116785dex31.htm" TargetMode="External"/><Relationship Id="rId260" Type="http://schemas.openxmlformats.org/officeDocument/2006/relationships/hyperlink" Target="https://www.sec.gov/Archives/edgar/data/1531177/000119312521218705/d116785dex32.htm" TargetMode="External"/><Relationship Id="rId261" Type="http://schemas.openxmlformats.org/officeDocument/2006/relationships/hyperlink" Target="https://www.sec.gov/Archives/edgar/data/1531177/000119312521210231/d90195dex41.htm" TargetMode="External"/><Relationship Id="rId262" Type="http://schemas.openxmlformats.org/officeDocument/2006/relationships/hyperlink" Target="https://www.sec.gov/Archives/edgar/data/1531177/000119312521210231/d90195dex42.htm" TargetMode="External"/><Relationship Id="rId263" Type="http://schemas.openxmlformats.org/officeDocument/2006/relationships/hyperlink" Target="https://www.sec.gov/Archives/edgar/data/1531177/000119312524012979/d715146dex41.htm" TargetMode="External"/><Relationship Id="rId264" Type="http://schemas.openxmlformats.org/officeDocument/2006/relationships/hyperlink" Target="https://www.sec.gov/Archives/edgar/data/1531177/000119312521197314/d90195dex101.htm" TargetMode="External"/><Relationship Id="rId265" Type="http://schemas.openxmlformats.org/officeDocument/2006/relationships/hyperlink" Target="https://www.sec.gov/Archives/edgar/data/1531177/000119312521210231/d90195dex102.htm" TargetMode="External"/><Relationship Id="rId266" Type="http://schemas.openxmlformats.org/officeDocument/2006/relationships/hyperlink" Target="https://www.sec.gov/Archives/edgar/data/1531177/000095017022008993/sght-ex10_1.htm" TargetMode="External"/><Relationship Id="rId267" Type="http://schemas.openxmlformats.org/officeDocument/2006/relationships/hyperlink" Target="https://www.sec.gov/Archives/edgar/data/1531177/000119312521210231/d90195dex103.htm" TargetMode="External"/><Relationship Id="rId268" Type="http://schemas.openxmlformats.org/officeDocument/2006/relationships/hyperlink" Target="https://www.sec.gov/Archives/edgar/data/1531177/000119312521210231/d90195dex104.htm" TargetMode="External"/><Relationship Id="rId269" Type="http://schemas.openxmlformats.org/officeDocument/2006/relationships/hyperlink" Target="https://www.sec.gov/Archives/edgar/data/1531177/000119312521210231/d90195dex105.htm" TargetMode="External"/><Relationship Id="rId270" Type="http://schemas.openxmlformats.org/officeDocument/2006/relationships/hyperlink" Target="https://www.sec.gov/Archives/edgar/data/1531177/000119312521210231/d90195dex1011.htm" TargetMode="External"/><Relationship Id="rId271" Type="http://schemas.openxmlformats.org/officeDocument/2006/relationships/hyperlink" Target="https://www.sec.gov/Archives/edgar/data/1531177/000119312521210231/d90195dex1013.htm" TargetMode="External"/><Relationship Id="rId272" Type="http://schemas.openxmlformats.org/officeDocument/2006/relationships/hyperlink" Target="https://www.sec.gov/Archives/edgar/data/1531177/000119312521210231/d90195dex1014.htm" TargetMode="External"/><Relationship Id="rId273" Type="http://schemas.openxmlformats.org/officeDocument/2006/relationships/hyperlink" Target="https://www.sec.gov/Archives/edgar/data/1531177/000095017023008526/sght-ex10_10.htm" TargetMode="External"/><Relationship Id="rId274" Type="http://schemas.openxmlformats.org/officeDocument/2006/relationships/hyperlink" Target="https://www.sec.gov/Archives/edgar/data/1531177/000095017023018865/sght-ex10_1.htm" TargetMode="External"/><Relationship Id="rId275" Type="http://schemas.openxmlformats.org/officeDocument/2006/relationships/hyperlink" Target="https://www.sec.gov/Archives/edgar/data/1531177/000095017023060303/sght-ex10_2.htm" TargetMode="External"/><Relationship Id="rId276" Type="http://schemas.openxmlformats.org/officeDocument/2006/relationships/hyperlink" Target="https://www.sec.gov/Archives/edgar/data/1531177/000119312521197314/d90195dex107.htm" TargetMode="External"/><Relationship Id="rId277" Type="http://schemas.openxmlformats.org/officeDocument/2006/relationships/hyperlink" Target="https://www.sec.gov/Archives/edgar/data/1531177/000119312521197314/d90195dex108.htm" TargetMode="External"/><Relationship Id="rId278" Type="http://schemas.openxmlformats.org/officeDocument/2006/relationships/hyperlink" Target="https://www.sec.gov/Archives/edgar/data/1531177/000095017021004130/sght-ex10_2.htm" TargetMode="External"/><Relationship Id="rId279" Type="http://schemas.openxmlformats.org/officeDocument/2006/relationships/hyperlink" Target="https://www.sec.gov/Archives/edgar/data/1531177/000095017022004563/sght-ex10_14.htm" TargetMode="External"/><Relationship Id="rId282" Type="http://schemas.openxmlformats.org/officeDocument/2006/relationships/hyperlink" Target="https://www.sec.gov/Archives/edgar/data/1531177/000095017023008526/sght-ex10_15.htm" TargetMode="External"/><Relationship Id="rId283" Type="http://schemas.openxmlformats.org/officeDocument/2006/relationships/hyperlink" Target="https://www.sec.gov/Archives/edgar/data/1531177/000095017023060303/sght-ex10_3.htm" TargetMode="External"/><Relationship Id="rId284" Type="http://schemas.openxmlformats.org/officeDocument/2006/relationships/hyperlink" Target="https://www.sec.gov/Archives/edgar/data/1531177/000119312521197314/d90195dex109.htm" TargetMode="External"/><Relationship Id="rId285" Type="http://schemas.openxmlformats.org/officeDocument/2006/relationships/hyperlink" Target="https://www.sec.gov/Archives/edgar/data/1531177/000095017021004130/sght-ex10_1.htm" TargetMode="External"/><Relationship Id="rId286" Type="http://schemas.openxmlformats.org/officeDocument/2006/relationships/hyperlink" Target="https://www.sec.gov/Archives/edgar/data/1531177/000095017022004563/sght-ex10_13.htm" TargetMode="External"/><Relationship Id="rId287" Type="http://schemas.openxmlformats.org/officeDocument/2006/relationships/hyperlink" Target="https://www.sec.gov/Archives/edgar/data/1531177/000095017022016878/sght-ex10_1.htm" TargetMode="External"/><Relationship Id="rId288" Type="http://schemas.openxmlformats.org/officeDocument/2006/relationships/hyperlink" Target="https://www.sec.gov/Archives/edgar/data/1531177/000095017023008526/sght-ex10_20.htm" TargetMode="External"/><Relationship Id="rId289" Type="http://schemas.openxmlformats.org/officeDocument/2006/relationships/hyperlink" Target="https://www.sec.gov/Archives/edgar/data/1531177/000119312521197314/d90195dex1010.htm" TargetMode="External"/><Relationship Id="rId290" Type="http://schemas.openxmlformats.org/officeDocument/2006/relationships/hyperlink" Target="https://www.sec.gov/Archives/edgar/data/1531177/000095017022004563/sght-ex10_15.htm" TargetMode="External"/><Relationship Id="rId291" Type="http://schemas.openxmlformats.org/officeDocument/2006/relationships/hyperlink" Target="https://www.sec.gov/Archives/edgar/data/1531177/000095017022024483/sght-ex10_1.htm" TargetMode="External"/><Relationship Id="rId292" Type="http://schemas.openxmlformats.org/officeDocument/2006/relationships/hyperlink" Target="https://www.sec.gov/Archives/edgar/data/1531177/000119312524012979/d7151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2024-03-13T05:19:40Z</dcterms:created>
  <dcterms:modified xsi:type="dcterms:W3CDTF">2024-03-13T05:19:40Z</dcterms:modified>
</cp:coreProperties>
</file>