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Bauerlein Alison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SIGHT SCIENCES,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4040 CAMPBELL AVE.,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Sight Sciences, Inc.</w:t>
              </w:r>
            </w:hyperlink>
            <w:r>
              <w:rPr/>
              <w:t xml:space="preserve"> [ </w:t>
            </w:r>
            <w:r>
              <w:rPr>
                <w:rFonts w:ascii="Times;serif" w:hAnsi="Times;serif"/>
                <w:color w:val="0000FF"/>
                <w:sz w:val="24"/>
                <w:shd w:fill="FFFFFF" w:val="clear"/>
              </w:rPr>
              <w:t>SGHT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Operating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4"/>
        <w:gridCol w:w="900"/>
        <w:gridCol w:w="771"/>
        <w:gridCol w:w="598"/>
        <w:gridCol w:w="345"/>
        <w:gridCol w:w="965"/>
        <w:gridCol w:w="447"/>
        <w:gridCol w:w="792"/>
        <w:gridCol w:w="1181"/>
        <w:gridCol w:w="987"/>
        <w:gridCol w:w="91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0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25,260</w:t>
            </w:r>
            <w:r>
              <w:rPr>
                <w:rFonts w:ascii="Times;serif" w:hAnsi="Times;serif"/>
                <w:color w:val="008000"/>
                <w:position w:val="7"/>
                <w:sz w:val="16"/>
                <w:sz w:val="20"/>
                <w:shd w:fill="FFFFFF" w:val="clear"/>
              </w:rPr>
              <w:t>(1)</w:t>
            </w:r>
          </w:p>
        </w:tc>
        <w:tc>
          <w:tcPr>
            <w:tcW w:w="4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8.853</w:t>
            </w:r>
            <w:r>
              <w:rPr>
                <w:rFonts w:ascii="Times;serif" w:hAnsi="Times;serif"/>
                <w:color w:val="008000"/>
                <w:position w:val="7"/>
                <w:sz w:val="16"/>
                <w:sz w:val="20"/>
                <w:shd w:fill="FFFFFF" w:val="clear"/>
              </w:rPr>
              <w:t>(2)</w:t>
            </w:r>
          </w:p>
        </w:tc>
        <w:tc>
          <w:tcPr>
            <w:tcW w:w="11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639,449</w:t>
            </w:r>
            <w:r>
              <w:rPr>
                <w:rFonts w:ascii="Times;serif" w:hAnsi="Times;serif"/>
                <w:color w:val="008000"/>
                <w:position w:val="7"/>
                <w:sz w:val="16"/>
                <w:sz w:val="20"/>
                <w:shd w:fill="FFFFFF" w:val="clear"/>
              </w:rPr>
              <w:t>(3)</w:t>
            </w:r>
          </w:p>
        </w:tc>
        <w:tc>
          <w:tcPr>
            <w:tcW w:w="9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shares of the Issuer's common stock, par value $0.001 per share ("Common Stock"), sold to cover the Reporting Person's tax liability in connection with the vesting of restricted stock units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the weighted average price at which the shares of Common Stock were sold. The shares were sold in multiple transactions at prices ranging from $8.68 to $9.07,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(i) 214,450 shares of Common Stock, and (ii) 424,999 shares of Common Stock which shall be acquired upon the vesting and settlement of RSUs that have not yet vested.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/s/Kashif Rashid, Attorney-in-Fact for Alison Bauerlein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596080" TargetMode="External"/><Relationship Id="rId5" Type="http://schemas.openxmlformats.org/officeDocument/2006/relationships/hyperlink" Target="http://www.sec.gov/cgi-bin/browse-edgar?action=getcompany&amp;CIK=000153117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710</Words>
  <Characters>3845</Characters>
  <CharactersWithSpaces>4485</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