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ght-20240630.htm"/>
      <w:bookmarkStart w:id="1" w:name="kssght20240630"/>
      <w:bookmarkEnd w:id="0"/>
      <w:bookmarkEnd w:id="1"/>
      <w:r>
        <w:rPr/>
        <w:t> </w:t>
      </w:r>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001-40587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02" w:type="dxa"/>
        <w:jc w:val="left"/>
        <w:tblInd w:w="0" w:type="dxa"/>
        <w:tblLayout w:type="fixed"/>
        <w:tblCellMar>
          <w:top w:w="28" w:type="dxa"/>
          <w:left w:w="28" w:type="dxa"/>
          <w:bottom w:w="28" w:type="dxa"/>
          <w:right w:w="28" w:type="dxa"/>
        </w:tblCellMar>
      </w:tblPr>
      <w:tblGrid>
        <w:gridCol w:w="2656"/>
        <w:gridCol w:w="1246"/>
      </w:tblGrid>
      <w:tr>
        <w:trPr/>
        <w:tc>
          <w:tcPr>
            <w:tcW w:w="2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80-0625749</w:t>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4040 Campbell Ave, Suite 100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Menlo Park,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(877) 266-1144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SGHT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the close of business on July 26, 2024, the registrant had</w:t>
      </w:r>
      <w:r>
        <w:rPr>
          <w:rFonts w:ascii="Times New Roman" w:hAnsi="Times New Roman"/>
          <w:color w:val="000000"/>
          <w:sz w:val="20"/>
        </w:rPr>
        <w:t xml:space="preserve"> </w:t>
      </w:r>
      <w:r>
        <w:rPr>
          <w:rFonts w:ascii="Times New Roman" w:hAnsi="Times New Roman"/>
          <w:color w:val="000000"/>
          <w:sz w:val="16"/>
        </w:rPr>
        <w:t>50,307,299</w:t>
      </w:r>
      <w:r>
        <w:rPr>
          <w:rFonts w:ascii="Times New Roman" w:hAnsi="Times New Roman"/>
          <w:color w:val="000000"/>
          <w:sz w:val="20"/>
        </w:rPr>
        <w:t xml:space="preserve"> </w:t>
      </w:r>
      <w:r>
        <w:rPr>
          <w:rFonts w:ascii="Times New Roman" w:hAnsi="Times New Roman"/>
          <w:color w:val="000000"/>
          <w:sz w:val="16"/>
        </w:rPr>
        <w:t>shares of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563C1"/>
                  <w:sz w:val="20"/>
                  <w:u w:val="single"/>
                </w:rPr>
                <w:t>Special Note Regarding Forward-Looking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563C1"/>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563C1"/>
                  <w:sz w:val="20"/>
                  <w:u w:val="single"/>
                </w:rPr>
                <w:t>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563C1"/>
                  <w:sz w:val="20"/>
                  <w:u w:val="single"/>
                </w:rPr>
                <w:t>Condensed Consolidated Balance Sheets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_and_comp_loss">
              <w:r>
                <w:rPr>
                  <w:rStyle w:val="InternetLink"/>
                  <w:rFonts w:ascii="Times New Roman" w:hAnsi="Times New Roman"/>
                  <w:color w:val="0563C1"/>
                  <w:sz w:val="20"/>
                  <w:u w:val="single"/>
                </w:rPr>
                <w:t>Condensed Consolidated Statements of Operations and Comprehensive Loss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563C1"/>
                  <w:sz w:val="20"/>
                  <w:u w:val="single"/>
                </w:rPr>
                <w:t>Condensed Consolidated Statements of Stockholders’ Equity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563C1"/>
                  <w:sz w:val="20"/>
                  <w:u w:val="single"/>
                </w:rPr>
                <w:t>Condensed Consolidated Statements of Cash Flows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the context otherwise requires, references in this Quarterly Report on Form 10-Q to the “Company,” “Sight Sciences,” “we,” “us” and “our” refer to Sight 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for the fiscal period ended June 30, 2024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obtain and maintain sufficient reimbursement for our products, including our ability to maintain competitive reimbursement for our Surgical Glaucoma products and establish sufficient reimbursement for our Dry Eye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estimates of our total addressable market, revenue, expenses, liquidity, capital requirements, and needs for additional financing;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enter into and compete in new markets, and to expand the markets for our current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the strategic realignment of our operations, including our reduction in workforce and related cost-savings initiatives;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compliance with our secured credit facility;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factors and trends impacting our financial results, including our product development approach, market education, and our ability to achieve operating and financial milestones with optimal capital efficiency;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scale our infrastructure to achieve our business objectives;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manage and grow our business by expanding our sales to existing customers or introducing our products to new customers;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claims of infringement;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effects of extensive government regulation;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protect and scale our intellectual property portfolio;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hire and retain key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financing in future offerings;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expectation regarding the time during which we will be an emerging growth company under the Jumpstart Our Business Startups Act (the "JOBS Act");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proper and effective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events or results may differ from those expressed in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assumptions, and other factors described in the section titled “Risk Factors” in our Annual Report on Form 10-K for the year ended December 31, 2023 filed with the Securities and Exchange Commission (the "SEC") on March 13, 2024 (our "Annual Report"),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are based upon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1. FINANCIAL INFORMATION</w:t>
      </w:r>
    </w:p>
    <w:p>
      <w:pPr>
        <w:pStyle w:val="TextBody"/>
        <w:bidi w:val="0"/>
        <w:jc w:val="left"/>
        <w:rPr/>
      </w:pPr>
      <w:r>
        <w:rPr/>
        <w:t> </w:t>
      </w:r>
    </w:p>
    <w:p>
      <w:pPr>
        <w:pStyle w:val="TextBody"/>
        <w:bidi w:val="0"/>
        <w:jc w:val="left"/>
        <w:rPr>
          <w:rFonts w:ascii="Times New Roman" w:hAnsi="Times New Roman"/>
          <w:sz w:val="20"/>
        </w:rPr>
      </w:pPr>
      <w:bookmarkStart w:id="4" w:name="condensed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Condensed Consolidated Balance Sheets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5"/>
        <w:gridCol w:w="146"/>
        <w:gridCol w:w="211"/>
        <w:gridCol w:w="841"/>
        <w:gridCol w:w="166"/>
        <w:gridCol w:w="146"/>
        <w:gridCol w:w="213"/>
        <w:gridCol w:w="854"/>
        <w:gridCol w:w="613"/>
      </w:tblGrid>
      <w:tr>
        <w:trPr/>
        <w:tc>
          <w:tcPr>
            <w:tcW w:w="7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vAlign w:val="center"/>
          </w:tcPr>
          <w:p>
            <w:pPr>
              <w:pStyle w:val="TableContents"/>
              <w:bidi w:val="0"/>
              <w:spacing w:before="0" w:after="283"/>
              <w:jc w:val="center"/>
              <w:rPr/>
            </w:pPr>
            <w:r>
              <w:rPr/>
              <w:t> </w:t>
            </w:r>
          </w:p>
        </w:tc>
      </w:tr>
      <w:tr>
        <w:trPr/>
        <w:tc>
          <w:tcPr>
            <w:tcW w:w="70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70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70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$1,059 and $1,186 at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162,871</w:t>
            </w:r>
          </w:p>
        </w:tc>
        <w:tc>
          <w:tcPr>
            <w:tcW w:w="613" w:type="dxa"/>
            <w:tcBorders/>
            <w:shd w:fill="CFF0FC" w:val="clear"/>
            <w:vAlign w:val="center"/>
          </w:tcPr>
          <w:p>
            <w:pPr>
              <w:pStyle w:val="TableContents"/>
              <w:bidi w:val="0"/>
              <w:spacing w:before="0" w:after="283"/>
              <w:jc w:val="left"/>
              <w:rPr/>
            </w:pPr>
            <w:r>
              <w:rPr/>
              <w:t> </w:t>
            </w:r>
          </w:p>
        </w:tc>
      </w:tr>
      <w:tr>
        <w:trPr/>
        <w:tc>
          <w:tcPr>
            <w:tcW w:w="70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613" w:type="dxa"/>
            <w:tcBorders/>
            <w:shd w:fill="FFFFFF" w:val="clear"/>
            <w:vAlign w:val="center"/>
          </w:tcPr>
          <w:p>
            <w:pPr>
              <w:pStyle w:val="TableContents"/>
              <w:bidi w:val="0"/>
              <w:spacing w:before="0" w:after="283"/>
              <w:jc w:val="left"/>
              <w:rPr/>
            </w:pPr>
            <w:r>
              <w:rPr/>
              <w:t> </w:t>
            </w:r>
          </w:p>
        </w:tc>
      </w:tr>
      <w:tr>
        <w:trPr/>
        <w:tc>
          <w:tcPr>
            <w:tcW w:w="70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613" w:type="dxa"/>
            <w:tcBorders/>
            <w:shd w:fill="CFF0FC" w:val="clear"/>
            <w:vAlign w:val="center"/>
          </w:tcPr>
          <w:p>
            <w:pPr>
              <w:pStyle w:val="TableContents"/>
              <w:bidi w:val="0"/>
              <w:spacing w:before="0" w:after="283"/>
              <w:jc w:val="left"/>
              <w:rPr/>
            </w:pPr>
            <w:r>
              <w:rPr/>
              <w:t> </w:t>
            </w:r>
          </w:p>
        </w:tc>
      </w:tr>
      <w:tr>
        <w:trPr/>
        <w:tc>
          <w:tcPr>
            <w:tcW w:w="70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166,651</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70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70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 long-term debt,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12,252</w:t>
            </w:r>
          </w:p>
        </w:tc>
        <w:tc>
          <w:tcPr>
            <w:tcW w:w="613" w:type="dxa"/>
            <w:tcBorders/>
            <w:shd w:fill="FFFFFF" w:val="clear"/>
            <w:vAlign w:val="center"/>
          </w:tcPr>
          <w:p>
            <w:pPr>
              <w:pStyle w:val="TableContents"/>
              <w:bidi w:val="0"/>
              <w:spacing w:before="0" w:after="283"/>
              <w:jc w:val="left"/>
              <w:rPr/>
            </w:pPr>
            <w:r>
              <w:rPr/>
              <w:t> </w:t>
            </w:r>
          </w:p>
        </w:tc>
      </w:tr>
      <w:tr>
        <w:trPr/>
        <w:tc>
          <w:tcPr>
            <w:tcW w:w="70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31,708</w:t>
            </w:r>
          </w:p>
        </w:tc>
        <w:tc>
          <w:tcPr>
            <w:tcW w:w="613" w:type="dxa"/>
            <w:tcBorders/>
            <w:shd w:fill="CFF0FC" w:val="clear"/>
            <w:vAlign w:val="center"/>
          </w:tcPr>
          <w:p>
            <w:pPr>
              <w:pStyle w:val="TableContents"/>
              <w:bidi w:val="0"/>
              <w:spacing w:before="0" w:after="283"/>
              <w:jc w:val="left"/>
              <w:rPr/>
            </w:pPr>
            <w:r>
              <w:rPr/>
              <w:t> </w:t>
            </w:r>
          </w:p>
        </w:tc>
      </w:tr>
      <w:tr>
        <w:trPr/>
        <w:tc>
          <w:tcPr>
            <w:tcW w:w="70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70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70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par value $0.001 per share; 10,000,000 shares authorized; no shares issued and outstanding as of June 30, 2024 and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color w:val="000000"/>
              </w:rPr>
            </w:pPr>
            <w:r>
              <w:rPr>
                <w:color w:val="000000"/>
              </w:rPr>
              <w:t>—</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$0.001 per share; 200,000,000 shares authorized; 50,136,131 and 49,131,363 shares issued and outstanding as of June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414,956</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(294,790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166,651</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6" w:name="statements_of_operations_and_comp_loss"/>
      <w:bookmarkEnd w:id="6"/>
      <w:r>
        <w:rPr>
          <w:rFonts w:ascii="Times New Roman" w:hAnsi="Times New Roman"/>
          <w:b/>
          <w:color w:val="000000"/>
          <w:sz w:val="20"/>
        </w:rPr>
        <w:t>Condensed Consolidated Statements of Operations and Comprehensive Loss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42,296</w:t>
            </w:r>
          </w:p>
        </w:tc>
        <w:tc>
          <w:tcPr>
            <w:tcW w:w="591" w:type="dxa"/>
            <w:tcBorders/>
            <w:shd w:fill="CFF0FC" w:val="cle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35,867</w:t>
            </w:r>
          </w:p>
        </w:tc>
        <w:tc>
          <w:tcPr>
            <w:tcW w:w="591" w:type="dxa"/>
            <w:tcBorders/>
            <w:shd w:fill="CFF0FC" w:val="cle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(32,754</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591" w:type="dxa"/>
            <w:tcBorders/>
            <w:shd w:fill="CFF0FC" w:val="cle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(31,799</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49,903,386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48,536,310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49,694,825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48,471,153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360" w:after="283"/>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7" w:name="stockholders_deficit"/>
      <w:bookmarkEnd w:id="7"/>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26"/>
        <w:gridCol w:w="842"/>
        <w:gridCol w:w="213"/>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9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49,565,200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109,209</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3" w:type="dxa"/>
            <w:tcBorders/>
            <w:shd w:fill="FFFFFF" w:val="clear"/>
            <w:vAlign w:val="center"/>
          </w:tcPr>
          <w:p>
            <w:pPr>
              <w:pStyle w:val="TableContents"/>
              <w:bidi w:val="0"/>
              <w:spacing w:before="0" w:after="283"/>
              <w:jc w:val="left"/>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213" w:type="dxa"/>
            <w:tcBorders/>
            <w:shd w:fill="FFFFFF" w:val="clear"/>
            <w:vAlign w:val="center"/>
          </w:tcPr>
          <w:p>
            <w:pPr>
              <w:pStyle w:val="TableContents"/>
              <w:bidi w:val="0"/>
              <w:spacing w:before="0" w:after="283"/>
              <w:jc w:val="left"/>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50,136,131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101,638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26"/>
        <w:gridCol w:w="842"/>
        <w:gridCol w:w="213"/>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9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49,131,363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120,215</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13" w:type="dxa"/>
            <w:tcBorders/>
            <w:shd w:fill="FFFFFF" w:val="clear"/>
            <w:vAlign w:val="center"/>
          </w:tcPr>
          <w:p>
            <w:pPr>
              <w:pStyle w:val="TableContents"/>
              <w:bidi w:val="0"/>
              <w:spacing w:before="0" w:after="283"/>
              <w:jc w:val="left"/>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3" w:type="dxa"/>
            <w:tcBorders/>
            <w:shd w:fill="FFFFFF" w:val="clear"/>
            <w:vAlign w:val="center"/>
          </w:tcPr>
          <w:p>
            <w:pPr>
              <w:pStyle w:val="TableContents"/>
              <w:bidi w:val="0"/>
              <w:spacing w:before="0" w:after="283"/>
              <w:jc w:val="left"/>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50,136,131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101,638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26"/>
        <w:gridCol w:w="842"/>
        <w:gridCol w:w="213"/>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9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48,450,378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146,376</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3" w:type="dxa"/>
            <w:tcBorders/>
            <w:shd w:fill="FFFFFF" w:val="clear"/>
            <w:vAlign w:val="center"/>
          </w:tcPr>
          <w:p>
            <w:pPr>
              <w:pStyle w:val="TableContents"/>
              <w:bidi w:val="0"/>
              <w:spacing w:before="0" w:after="283"/>
              <w:jc w:val="left"/>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w:t>
            </w:r>
          </w:p>
        </w:tc>
        <w:tc>
          <w:tcPr>
            <w:tcW w:w="213" w:type="dxa"/>
            <w:tcBorders/>
            <w:shd w:fill="FFFFFF" w:val="clear"/>
            <w:vAlign w:val="center"/>
          </w:tcPr>
          <w:p>
            <w:pPr>
              <w:pStyle w:val="TableContents"/>
              <w:bidi w:val="0"/>
              <w:spacing w:before="0" w:after="283"/>
              <w:jc w:val="left"/>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48,649,343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136,131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26"/>
        <w:gridCol w:w="842"/>
        <w:gridCol w:w="213"/>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9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48,298,138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160,076</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13" w:type="dxa"/>
            <w:tcBorders/>
            <w:shd w:fill="FFFFFF" w:val="clear"/>
            <w:vAlign w:val="center"/>
          </w:tcPr>
          <w:p>
            <w:pPr>
              <w:pStyle w:val="TableContents"/>
              <w:bidi w:val="0"/>
              <w:spacing w:before="0" w:after="283"/>
              <w:jc w:val="left"/>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of net share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w:t>
            </w:r>
          </w:p>
        </w:tc>
        <w:tc>
          <w:tcPr>
            <w:tcW w:w="213" w:type="dxa"/>
            <w:tcBorders/>
            <w:shd w:fill="FFFFFF" w:val="clear"/>
            <w:vAlign w:val="center"/>
          </w:tcPr>
          <w:p>
            <w:pPr>
              <w:pStyle w:val="TableContents"/>
              <w:bidi w:val="0"/>
              <w:spacing w:before="0" w:after="283"/>
              <w:jc w:val="left"/>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48,649,343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136,131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2"/>
        <w:gridCol w:w="146"/>
        <w:gridCol w:w="211"/>
        <w:gridCol w:w="781"/>
        <w:gridCol w:w="166"/>
        <w:gridCol w:w="146"/>
        <w:gridCol w:w="211"/>
        <w:gridCol w:w="781"/>
        <w:gridCol w:w="411"/>
      </w:tblGrid>
      <w:tr>
        <w:trPr/>
        <w:tc>
          <w:tcPr>
            <w:tcW w:w="7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vAlign w:val="center"/>
          </w:tcPr>
          <w:p>
            <w:pPr>
              <w:pStyle w:val="TableContents"/>
              <w:bidi w:val="0"/>
              <w:spacing w:before="0" w:after="283"/>
              <w:jc w:val="center"/>
              <w:rPr/>
            </w:pPr>
            <w:r>
              <w:rPr/>
              <w:t> </w:t>
            </w:r>
          </w:p>
        </w:tc>
      </w:tr>
      <w:tr>
        <w:trPr/>
        <w:tc>
          <w:tcPr>
            <w:tcW w:w="73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debt discount and amortization of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excess and obsolete 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proceeds from Hercules Loan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MidCap Loan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stock purchase plan purchases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411" w:type="dxa"/>
            <w:tcBorders/>
            <w:shd w:fill="CFF0FC" w:val="clear"/>
            <w:vAlign w:val="center"/>
          </w:tcPr>
          <w:p>
            <w:pPr>
              <w:pStyle w:val="TableContents"/>
              <w:bidi w:val="0"/>
              <w:spacing w:before="0" w:after="283"/>
              <w:jc w:val="lef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on net share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common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(30,485</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411" w:type="dxa"/>
            <w:tcBorders/>
            <w:shd w:fill="CFF0FC" w:val="clear"/>
            <w:vAlign w:val="center"/>
          </w:tcPr>
          <w:p>
            <w:pPr>
              <w:pStyle w:val="TableContents"/>
              <w:bidi w:val="0"/>
              <w:spacing w:before="0" w:after="283"/>
              <w:jc w:val="lef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 of investing and financing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property and equipment included in accounts payable and 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411" w:type="dxa"/>
            <w:tcBorders/>
            <w:shd w:fill="CFF0FC" w:val="clear"/>
            <w:vAlign w:val="center"/>
          </w:tcPr>
          <w:p>
            <w:pPr>
              <w:pStyle w:val="TableContents"/>
              <w:bidi w:val="0"/>
              <w:spacing w:before="0" w:after="283"/>
              <w:jc w:val="lef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issued upon execution of Hercules Loan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 Company and Nature of Business</w:t>
      </w:r>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 The Company’s mission is to develop transformative, interventional technologies that allow eyecare providers to procedurally elevate the standards of care—empowering people to keep seeing.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product portfolio aligns with its two reportable operating segments: Surgical Glaucoma and Dry Eye. The products for the Surgical Glaucoma segment include the OMNI® Surgical System ("OMNI"), which is an implant-free, handheld, single-use, therapeutic technology that enables ophthalmic surgeons to perform a comprehensive procedure to reduce intraocular pressure in adult patients with primary open angle glaucoma, and the SION® Surgical Instrument ("SION"), a bladeless, manually operated device used in ophthalmic surgical procedures to excise trabecular meshwork. The product portfolio for the Dry Eye segment consists of the TearCare® System ("TearCare") for ophthalmologists and optometrists. TearCare is a proprietary, interventional, dry eye device designed to melt and facilitate the comprehensive removal of meibomian gland obstructions and restore gland functionality and healthy oil production for adult patients with evaporative dry eye disease due to meibomian gland dysfunction (“MGD”) when used in conjunction with manual expression of the meibomian glands, enabling clearance of gland obstructions by physicians to address the leading cause of dry eye disease.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Significant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the Company has incurred losses and negative cash flows from operations. As of June 30, 2024, the Company had an accumulated deficit of $323.4 million and recorded a net loss of $28.6 million for the six months then ended and expects to incur additional losses in the future. If the Company’s revenue levels from its products are not sufficient or if the Company is unable to secure additional funding when desired, the Company may need to delay the development of its products, scale back its business and operations, or change its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its existing sources of liquidity will satisfy its working capital and capital requirements for at least 12 months from the issuance of its unaudited condensed consolidated financial statements. Any failure to generate increased revenue, achieve improved gross margins, or control operating costs could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are unaudited and have been prepared in accordance with accounting principles generally accepted in the United States of America ("US GAAP") applicable to interim periods and pursuant to the instructions to Form 10-Q and Article 10 of Regulation S-X. The Company’s condensed consolidated financial statements include the accounts of the Company and its wholly owned subsidiaries, Sight Sciences UK, Ltd and Sight Sciences GmbH.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a basis consistent with the audited consolidated financial statements. In the opinion of management, the unaudited condensed consolidated financial statements reflect all adjustments, which include only normal recurring adjustments, necessary for the fair presentation of the Company's financial information contained herein. The condensed consolidated balance sheet as of December 31, 2023 is derived from the Company's consolidated audited financial statements as of that date. These interim condensed consolidated financial statements do not include all disclosures required by US GAAP and should be read in conjunction with the Company's audited consolidated financial statements and the accompanying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notes thereto for the fiscal year ended December 31, 2023, which are contained in the Annual Report. The Company's results of operations for the six months ended June 30, 2024 are not necessarily indicative of the results to be expected for the year ending December 31, 2024 or for any other interim period.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preparation of the unaudited condensed consolidated financial statements in conformity with US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related to the provision for credit losses, inventory excess and obsolescence, determination of the fair value of stock option grants,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Recently Adopted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During the six-month period ended June 30, 2024, there were no significant Accounting Standard Updates ("ASUs") issued that were adopted.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No. 2023-07, </w:t>
      </w:r>
      <w:r>
        <w:rPr>
          <w:rFonts w:ascii="Times New Roman" w:hAnsi="Times New Roman"/>
          <w:i/>
          <w:color w:val="000000"/>
          <w:sz w:val="20"/>
        </w:rPr>
        <w:t>Segment Reporting (Topic 280):</w:t>
      </w:r>
      <w:r>
        <w:rPr>
          <w:rFonts w:ascii="Times New Roman" w:hAnsi="Times New Roman"/>
          <w:color w:val="000000"/>
          <w:sz w:val="20"/>
        </w:rPr>
        <w:t xml:space="preserve"> </w:t>
      </w:r>
      <w:r>
        <w:rPr>
          <w:rFonts w:ascii="Times New Roman" w:hAnsi="Times New Roman"/>
          <w:i/>
          <w:color w:val="000000"/>
          <w:sz w:val="20"/>
        </w:rPr>
        <w:t xml:space="preserve">Improvements to Reportable Segment Disclosure. </w:t>
      </w:r>
      <w:r>
        <w:rPr>
          <w:rFonts w:ascii="Times New Roman" w:hAnsi="Times New Roman"/>
          <w:color w:val="000000"/>
          <w:sz w:val="20"/>
        </w:rPr>
        <w:t xml:space="preserve">The ASU updates reportable segment disclosure requirements, primarily through requiring enhanced disclosures about significant segment expenses and information used to assess segment performance. The ASU is effective for fiscal years beginning after December 15, 2023, and interim period within fiscal years beginning after December 15, 2024, with early adoption permitted. The Company is currently evaluating the impact of adopting this ASU on its disclosures.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is currently evaluating the impact of adopting this ASU on its disclosures.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 of June 30, 2024, there are no additional ASUs issued and not yet adopted that are expected to have a material impact on the Company's financial statements and related disclosures.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1—Inputs are quoted prices (unadjusted) in active markets for identical assets or liabilities that the Company has the ability to access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2—Inputs are observable, unadjusted quoted prices in active markets for similar assets or liabilities, unadjusted quoted prices for identical or similar assets or liabilities in markets that are not active, or other inputs that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observable or can be corroborated by observable market data for substantially the full term of the related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cash and cash equivalents included Level 1 investments in treasury securities of $109.3 million and $129.1 million as of June 30, 2024 and December 31, 2023, respectively. These securities are classified as held-to-maturity and all have been purchased with original maturities of 90 days or less. Held-to-maturity debt securities are recorded at amortized cost in the financial statements.</w:t>
      </w:r>
    </w:p>
    <w:p>
      <w:pPr>
        <w:pStyle w:val="TextBody"/>
        <w:bidi w:val="0"/>
        <w:spacing w:before="240" w:after="283"/>
        <w:jc w:val="left"/>
        <w:rPr/>
      </w:pPr>
      <w:r>
        <w:rPr/>
        <w:t> </w:t>
      </w:r>
    </w:p>
    <w:tbl>
      <w:tblPr>
        <w:tblW w:w="8834" w:type="dxa"/>
        <w:jc w:val="left"/>
        <w:tblInd w:w="0" w:type="dxa"/>
        <w:tblLayout w:type="fixed"/>
        <w:tblCellMar>
          <w:top w:w="28" w:type="dxa"/>
          <w:left w:w="28" w:type="dxa"/>
          <w:bottom w:w="28" w:type="dxa"/>
          <w:right w:w="28" w:type="dxa"/>
        </w:tblCellMar>
      </w:tblPr>
      <w:tblGrid>
        <w:gridCol w:w="1951"/>
        <w:gridCol w:w="146"/>
        <w:gridCol w:w="265"/>
        <w:gridCol w:w="980"/>
        <w:gridCol w:w="146"/>
        <w:gridCol w:w="146"/>
        <w:gridCol w:w="675"/>
        <w:gridCol w:w="675"/>
        <w:gridCol w:w="146"/>
        <w:gridCol w:w="146"/>
        <w:gridCol w:w="522"/>
        <w:gridCol w:w="858"/>
        <w:gridCol w:w="146"/>
        <w:gridCol w:w="146"/>
        <w:gridCol w:w="360"/>
        <w:gridCol w:w="1335"/>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109,308</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8834" w:type="dxa"/>
        <w:jc w:val="left"/>
        <w:tblInd w:w="0" w:type="dxa"/>
        <w:tblLayout w:type="fixed"/>
        <w:tblCellMar>
          <w:top w:w="28" w:type="dxa"/>
          <w:left w:w="28" w:type="dxa"/>
          <w:bottom w:w="28" w:type="dxa"/>
          <w:right w:w="28" w:type="dxa"/>
        </w:tblCellMar>
      </w:tblPr>
      <w:tblGrid>
        <w:gridCol w:w="1951"/>
        <w:gridCol w:w="146"/>
        <w:gridCol w:w="265"/>
        <w:gridCol w:w="980"/>
        <w:gridCol w:w="146"/>
        <w:gridCol w:w="146"/>
        <w:gridCol w:w="539"/>
        <w:gridCol w:w="811"/>
        <w:gridCol w:w="146"/>
        <w:gridCol w:w="146"/>
        <w:gridCol w:w="522"/>
        <w:gridCol w:w="858"/>
        <w:gridCol w:w="146"/>
        <w:gridCol w:w="146"/>
        <w:gridCol w:w="360"/>
        <w:gridCol w:w="1335"/>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129,141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the fair value of outstanding debt for disclosure purposes on a recurring basis. As of June 30, 2024 and December 31, 2023, total debt of $33.8 million and $33.9 million is reported at amortized cost, respectively. This outstanding debt is classified as Level 2 as it is not actively traded. The amortized cost of the outstanding debt approximates the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measures the fair value of the unissued common stock warrants to be issued pursuant to the Hercules Loan Agreement using the Black-Scholes option pricing method. These are classified as Level 3 liabilities, with an overall value of less than $0.1 million as of June 30, 2024. The unissued warrants are remeasured at each reporting date following execution of the Hercules Loan Agreement. See Note 5, Debt for additional information regarding the common stock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as of June 30, 2024 and December 31, 2023 do not include any assets or liabilities that are measured at fair value on a nonrecurring basis.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Balance Sheet Components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p>
      <w:pPr>
        <w:pStyle w:val="TextBody"/>
        <w:bidi w:val="0"/>
        <w:spacing w:before="120" w:after="283"/>
        <w:jc w:val="left"/>
        <w:rPr/>
      </w:pPr>
      <w:r>
        <w:rPr/>
        <w:t> </w:t>
      </w:r>
    </w:p>
    <w:tbl>
      <w:tblPr>
        <w:tblW w:w="6435" w:type="dxa"/>
        <w:jc w:val="left"/>
        <w:tblInd w:w="0" w:type="dxa"/>
        <w:tblLayout w:type="fixed"/>
        <w:tblCellMar>
          <w:top w:w="28" w:type="dxa"/>
          <w:left w:w="28" w:type="dxa"/>
          <w:bottom w:w="28" w:type="dxa"/>
          <w:right w:w="28" w:type="dxa"/>
        </w:tblCellMar>
      </w:tblPr>
      <w:tblGrid>
        <w:gridCol w:w="2911"/>
        <w:gridCol w:w="146"/>
        <w:gridCol w:w="285"/>
        <w:gridCol w:w="855"/>
        <w:gridCol w:w="166"/>
        <w:gridCol w:w="146"/>
        <w:gridCol w:w="379"/>
        <w:gridCol w:w="1136"/>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Tools and equipment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41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41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4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$0.1 million and $0.3 million for the three and six months ended June 30, 2024, respectively. Depreciation expense was $0.1 million and $0.3 million for the three and six months ended June 30, 2023, respectively.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current liabilities consist of the following (in thousands):</w:t>
      </w:r>
    </w:p>
    <w:p>
      <w:pPr>
        <w:pStyle w:val="TextBody"/>
        <w:bidi w:val="0"/>
        <w:spacing w:before="120" w:after="283"/>
        <w:jc w:val="left"/>
        <w:rPr/>
      </w:pPr>
      <w:r>
        <w:rPr/>
        <w:t> </w:t>
      </w:r>
    </w:p>
    <w:tbl>
      <w:tblPr>
        <w:tblW w:w="7165" w:type="dxa"/>
        <w:jc w:val="left"/>
        <w:tblInd w:w="0" w:type="dxa"/>
        <w:tblLayout w:type="fixed"/>
        <w:tblCellMar>
          <w:top w:w="28" w:type="dxa"/>
          <w:left w:w="28" w:type="dxa"/>
          <w:bottom w:w="28" w:type="dxa"/>
          <w:right w:w="28" w:type="dxa"/>
        </w:tblCellMar>
      </w:tblPr>
      <w:tblGrid>
        <w:gridCol w:w="3681"/>
        <w:gridCol w:w="146"/>
        <w:gridCol w:w="307"/>
        <w:gridCol w:w="833"/>
        <w:gridCol w:w="146"/>
        <w:gridCol w:w="146"/>
        <w:gridCol w:w="407"/>
        <w:gridCol w:w="1108"/>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vAlign w:val="center"/>
          </w:tcPr>
          <w:p>
            <w:pPr>
              <w:pStyle w:val="TableContents"/>
              <w:bidi w:val="0"/>
              <w:spacing w:before="0" w:after="283"/>
              <w:jc w:val="center"/>
              <w:rPr/>
            </w:pPr>
            <w:r>
              <w:rPr/>
              <w:t> </w:t>
            </w:r>
          </w:p>
        </w:tc>
      </w:tr>
      <w:tr>
        <w:trPr/>
        <w:tc>
          <w:tcPr>
            <w:tcW w:w="3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391" w:type="dxa"/>
            <w:tcBorders/>
            <w:shd w:fill="CFF0FC" w:val="clear"/>
            <w:vAlign w:val="center"/>
          </w:tcPr>
          <w:p>
            <w:pPr>
              <w:pStyle w:val="TableContents"/>
              <w:bidi w:val="0"/>
              <w:spacing w:before="0" w:after="283"/>
              <w:jc w:val="left"/>
              <w:rPr/>
            </w:pPr>
            <w:r>
              <w:rPr/>
              <w:t> </w:t>
            </w:r>
          </w:p>
        </w:tc>
      </w:tr>
      <w:tr>
        <w:trPr/>
        <w:tc>
          <w:tcPr>
            <w:tcW w:w="3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391" w:type="dxa"/>
            <w:tcBorders/>
            <w:shd w:fill="FFFFFF" w:val="clear"/>
            <w:vAlign w:val="center"/>
          </w:tcPr>
          <w:p>
            <w:pPr>
              <w:pStyle w:val="TableContents"/>
              <w:bidi w:val="0"/>
              <w:spacing w:before="0" w:after="283"/>
              <w:jc w:val="left"/>
              <w:rPr/>
            </w:pPr>
            <w:r>
              <w:rPr/>
              <w:t> </w:t>
            </w:r>
          </w:p>
        </w:tc>
      </w:tr>
      <w:tr>
        <w:trPr/>
        <w:tc>
          <w:tcPr>
            <w:tcW w:w="3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interest payable</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91" w:type="dxa"/>
            <w:tcBorders/>
            <w:shd w:fill="CFF0FC" w:val="clear"/>
            <w:vAlign w:val="center"/>
          </w:tcPr>
          <w:p>
            <w:pPr>
              <w:pStyle w:val="TableContents"/>
              <w:bidi w:val="0"/>
              <w:spacing w:before="0" w:after="283"/>
              <w:jc w:val="left"/>
              <w:rPr/>
            </w:pPr>
            <w:r>
              <w:rPr/>
              <w:t> </w:t>
            </w:r>
          </w:p>
        </w:tc>
      </w:tr>
      <w:tr>
        <w:trPr/>
        <w:tc>
          <w:tcPr>
            <w:tcW w:w="3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Other Noncurrent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noncurrent liabilities consist of the following (in thousands):</w:t>
      </w:r>
    </w:p>
    <w:p>
      <w:pPr>
        <w:pStyle w:val="TextBody"/>
        <w:bidi w:val="0"/>
        <w:spacing w:before="120" w:after="283"/>
        <w:jc w:val="left"/>
        <w:rPr/>
      </w:pPr>
      <w:r>
        <w:rPr/>
        <w:t> </w:t>
      </w:r>
    </w:p>
    <w:tbl>
      <w:tblPr>
        <w:tblW w:w="6650" w:type="dxa"/>
        <w:jc w:val="left"/>
        <w:tblInd w:w="0" w:type="dxa"/>
        <w:tblLayout w:type="fixed"/>
        <w:tblCellMar>
          <w:top w:w="28" w:type="dxa"/>
          <w:left w:w="28" w:type="dxa"/>
          <w:bottom w:w="28" w:type="dxa"/>
          <w:right w:w="28" w:type="dxa"/>
        </w:tblCellMar>
      </w:tblPr>
      <w:tblGrid>
        <w:gridCol w:w="3166"/>
        <w:gridCol w:w="146"/>
        <w:gridCol w:w="307"/>
        <w:gridCol w:w="833"/>
        <w:gridCol w:w="146"/>
        <w:gridCol w:w="146"/>
        <w:gridCol w:w="407"/>
        <w:gridCol w:w="1108"/>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interest payable</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3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entered into a Loan and Security Agreement (the “Hercules Loan Agreement”), with Hercules Capital, Inc. (“Hercules”) and certain of its affiliates (collective with Hercules, the “Lenders”), which provides for a senior secured term loan facility in the aggregate principal amount of up to $65.0 million. An initial tranche of $35.0 million (the “Initial Loan”) was funded under the Hercules Loan Agreement on January 22, 2024 (the “Closing Date”). In addition to the Initial Loan, the Hercules Loan Agreement provides for additional tranches as follows: $5.0 million available in a single draw through December 15, 2024, $10.0 million available to draw upon the achievement of certain performance milestones through September 15, 2025, and $15.0 million available for the Company to draw on through the interest-only period in increments of $5.0 million, subject to the sole approval of Hercules' investment committee (such tranche loans together with the Initial Loan, the “Term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Hercules Loan Agreement includes a maturity date of July 1, 2028, with an interest only period running for the first 30 months of the agreement term, extendable for an additional 6 months for a total of 36 months upon the achievement of certain milestones. The Term Loans accrue interest at a floating annual rate of the greater of 10.35% or the Wall Street Journal prime rate plus 2.35%, with the initial interest rate under the Term Loans equal to 10.85%. The final payment fee is set at 5.95% of the funded balance, which has been partially accrued and recorded as a long-term interest payable in other noncurrent liabilities of $0.2 million as of June 30, 2024. In conjunction with the funding of the Initial Loan, the Company issued warrants to the Lenders to purchase up to an aggregate of 135,686 shares of our common stock at an exercise price of $5.159 per share, which were recorded and classified as equity. Each warrant is exercisable for a period of seven years from the date of issuance.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under the Hercules Loan Agreement are guaranteed by the Company and its future subsidiaries, subject to exceptions for certain foreign subsidiaries. The obligations under the agreement are secured by substantially all of the Company's assets, including its material intellectual property. Additionally, the Company is subject to customary affirmative and negative covenants, including covenants that limit or restrict the ability of the Company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Company is also subject to certain minimum cash and revenue covenants under the Hercules Loan Agreement. The Company was in compliance with all covenants as of June 30,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MidCap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credit and security agreements with certain entities affiliated with MidCap Financial Services (such entities collectively, “MidCap”), which provided for a $35.0 million senior secured term loan (the “MidCap Term Loan”). In January 2024, the Company terminated the Amended and Restated Credit and Security Agreement (Term Loan) (the “MidCap Term Loan Agreement”) evidencing the MidCap Term Loan and paid off in full the secured obligations thereunder in connection with its entry into the Hercules Loan Agreement. The Company recorded a loss on the extinguishment of debt of $2.0 million during the six months ended June 30, 2024.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commitment obligations under the MidCap Term Loan Agreement were guaranteed by the Company’s current and future subsidiaries, subject to exceptions for certain foreign subsidiaries, and secured by substantially all assets of the Company, including material intellectual property. The MidCap Term Loan Agreement had a maturity date of November 1, 2025, and principal payments under the Term Loan were scheduled to commence in December 2024. In addition, the MidCap Term Loan Agreement included a stated floating interest rate that was reserve-adjusted Secured Overnight Finance Rate, plus 7.00%, and a provision for a final payment fee of 6.0% of the $35.0 million MidCap Term Loan balance, which had been partially accrued and recorded as a long-term interest payable in other noncurrent liabilities of $1.5 million as of December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Maturities Schedule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and short-term debt as of June 30, 2024 and December 31, 2023, respectively, was as follows (in thousands):</w:t>
      </w:r>
    </w:p>
    <w:p>
      <w:pPr>
        <w:pStyle w:val="TextBody"/>
        <w:bidi w:val="0"/>
        <w:spacing w:before="120" w:after="283"/>
        <w:jc w:val="left"/>
        <w:rPr/>
      </w:pPr>
      <w:r>
        <w:rPr/>
        <w:t> </w:t>
      </w:r>
    </w:p>
    <w:tbl>
      <w:tblPr>
        <w:tblW w:w="8710" w:type="dxa"/>
        <w:jc w:val="left"/>
        <w:tblInd w:w="0" w:type="dxa"/>
        <w:tblLayout w:type="fixed"/>
        <w:tblCellMar>
          <w:top w:w="28" w:type="dxa"/>
          <w:left w:w="28" w:type="dxa"/>
          <w:bottom w:w="28" w:type="dxa"/>
          <w:right w:w="28" w:type="dxa"/>
        </w:tblCellMar>
      </w:tblPr>
      <w:tblGrid>
        <w:gridCol w:w="5386"/>
        <w:gridCol w:w="146"/>
        <w:gridCol w:w="271"/>
        <w:gridCol w:w="869"/>
        <w:gridCol w:w="166"/>
        <w:gridCol w:w="146"/>
        <w:gridCol w:w="360"/>
        <w:gridCol w:w="1155"/>
        <w:gridCol w:w="2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shd w:fill="FFFFFF" w:val="clear"/>
            <w:vAlign w:val="center"/>
          </w:tcPr>
          <w:p>
            <w:pPr>
              <w:pStyle w:val="TableContents"/>
              <w:bidi w:val="0"/>
              <w:spacing w:before="0" w:after="283"/>
              <w:jc w:val="center"/>
              <w:rPr/>
            </w:pPr>
            <w:r>
              <w:rPr/>
              <w:t> </w:t>
            </w:r>
          </w:p>
        </w:tc>
      </w:tr>
      <w:tr>
        <w:trPr/>
        <w:tc>
          <w:tcPr>
            <w:tcW w:w="5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Initial Loan</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MidCap Term Loan</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 due</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discount related to warrant liability and issuance costs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outstanding</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repayment schedule relating to the Hercules Initial Loan as of June 30, 2024, is as follows (in thousands):</w:t>
      </w:r>
    </w:p>
    <w:p>
      <w:pPr>
        <w:pStyle w:val="TextBody"/>
        <w:bidi w:val="0"/>
        <w:spacing w:before="120" w:after="283"/>
        <w:jc w:val="left"/>
        <w:rPr/>
      </w:pPr>
      <w:r>
        <w:rPr/>
        <w:t> </w:t>
      </w:r>
    </w:p>
    <w:tbl>
      <w:tblPr>
        <w:tblW w:w="2755" w:type="dxa"/>
        <w:jc w:val="left"/>
        <w:tblInd w:w="0" w:type="dxa"/>
        <w:tblLayout w:type="fixed"/>
        <w:tblCellMar>
          <w:top w:w="28" w:type="dxa"/>
          <w:left w:w="28" w:type="dxa"/>
          <w:bottom w:w="28" w:type="dxa"/>
          <w:right w:w="28" w:type="dxa"/>
        </w:tblCellMar>
      </w:tblPr>
      <w:tblGrid>
        <w:gridCol w:w="1531"/>
        <w:gridCol w:w="146"/>
        <w:gridCol w:w="211"/>
        <w:gridCol w:w="676"/>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(remainder)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17,283</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repayments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 Obligations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leases include facility leases and equipment leases. In determining the present value of lease payments, the Company uses its incremental borrowing rate based on the information available at the lease commencement date if the rate implicit in the lease is not readily determinable. The Company</w:t>
      </w:r>
      <w:r>
        <w:rPr>
          <w:rFonts w:ascii="Times New Roman" w:hAnsi="Times New Roman"/>
          <w:color w:val="231F20"/>
          <w:sz w:val="20"/>
        </w:rPr>
        <w:t>’s incremental borrowing rate represents the interest rate that the Company would expect to incur at lease commencement to borrow an amount equal to the lease payments on a collateralized basis with similar terms and payments, in an economic environment where the leased asset is located.</w:t>
      </w:r>
      <w:r>
        <w:rPr>
          <w:rFonts w:ascii="Times New Roman" w:hAnsi="Times New Roman"/>
          <w:color w:val="000000"/>
          <w:sz w:val="20"/>
        </w:rPr>
        <w:t xml:space="preserve"> In determining the lease term, the Company includes all renewal options that are reasonably probable to be executed.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its corporate headquarters in Menlo Park, California. The lease commenced in August 2021 and was originally for a term of 37 months from the commencement date. In December 2023, the Company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entered into an amendment to the lease, extending the lease term an additional 26 months. Upon signing the amendment, the Company recorded an aggregate lease right-of-use ("ROU") asset and lease liability of $1.2 million. The lease ROU asset and corresponding liability were estimated using a weighted-average incremental borrowing rate of 11.40%. Total base rent for the remaining 34 months under the amended lease agreement is approximately $1.5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fourth quarter of 2022, the Company entered into a supply agreement that was expected to last approximately 18 months. In January 2024, the term was extended through December 31, 2024. The supply agreement contained provisions that, when evaluated, indicated an embedded lease was present within the agreement and the Company recorded an aggregate lease ROU asset and lease liability of $0.7 million. The lease ROU asset and corresponding lease liability were estimated using a weighted-average incremental borrowing rate of 10.75%. Total base rent under the agreement is approximately $0.7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rent expense on a straight-line basis over the noncancelable lease term. The Company’s rent expense was $0.2 million and $0.3 million for the three months ended June 30, 2024 and 2023, respectively. The Company’s rent expense was $0.4 million and $0.6 million for the six months ended June 30, 2024 and 2023, respectively. As of June 30, 2024, the weighted average remaining lease term for the leases was 2.2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expense and supplemental cash flow information related to operating leases for the three months ended June 30, 2024 and 2023 were as follows (in thousands):</w:t>
      </w:r>
    </w:p>
    <w:p>
      <w:pPr>
        <w:pStyle w:val="TextBody"/>
        <w:bidi w:val="0"/>
        <w:spacing w:before="120" w:after="283"/>
        <w:jc w:val="left"/>
        <w:rPr/>
      </w:pPr>
      <w:r>
        <w:rPr/>
        <w:t> </w:t>
      </w:r>
    </w:p>
    <w:tbl>
      <w:tblPr>
        <w:tblW w:w="6382" w:type="dxa"/>
        <w:jc w:val="left"/>
        <w:tblInd w:w="0" w:type="dxa"/>
        <w:tblLayout w:type="fixed"/>
        <w:tblCellMar>
          <w:top w:w="28" w:type="dxa"/>
          <w:left w:w="28" w:type="dxa"/>
          <w:bottom w:w="28" w:type="dxa"/>
          <w:right w:w="28" w:type="dxa"/>
        </w:tblCellMar>
      </w:tblPr>
      <w:tblGrid>
        <w:gridCol w:w="2551"/>
        <w:gridCol w:w="146"/>
        <w:gridCol w:w="223"/>
        <w:gridCol w:w="446"/>
        <w:gridCol w:w="154"/>
        <w:gridCol w:w="154"/>
        <w:gridCol w:w="223"/>
        <w:gridCol w:w="446"/>
        <w:gridCol w:w="146"/>
        <w:gridCol w:w="146"/>
        <w:gridCol w:w="211"/>
        <w:gridCol w:w="421"/>
        <w:gridCol w:w="146"/>
        <w:gridCol w:w="146"/>
        <w:gridCol w:w="211"/>
        <w:gridCol w:w="42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Aggregate future minimum lease payments as of June 30, 2024, under these noncancelable operating leases were as follows (in thousands):</w:t>
      </w:r>
    </w:p>
    <w:p>
      <w:pPr>
        <w:pStyle w:val="TextBody"/>
        <w:bidi w:val="0"/>
        <w:spacing w:before="120" w:after="283"/>
        <w:jc w:val="left"/>
        <w:rPr/>
      </w:pPr>
      <w:r>
        <w:rPr/>
        <w:t> </w:t>
      </w:r>
    </w:p>
    <w:tbl>
      <w:tblPr>
        <w:tblW w:w="5679" w:type="dxa"/>
        <w:jc w:val="left"/>
        <w:tblInd w:w="0" w:type="dxa"/>
        <w:tblLayout w:type="fixed"/>
        <w:tblCellMar>
          <w:top w:w="28" w:type="dxa"/>
          <w:left w:w="28" w:type="dxa"/>
          <w:bottom w:w="28" w:type="dxa"/>
          <w:right w:w="28" w:type="dxa"/>
        </w:tblCellMar>
      </w:tblPr>
      <w:tblGrid>
        <w:gridCol w:w="4036"/>
        <w:gridCol w:w="146"/>
        <w:gridCol w:w="307"/>
        <w:gridCol w:w="833"/>
        <w:gridCol w:w="16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(remainder)</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40" w:after="283"/>
        <w:jc w:val="left"/>
        <w:rPr>
          <w:rFonts w:ascii="Times New Roman" w:hAnsi="Times New Roman"/>
          <w:b/>
          <w:i/>
          <w:color w:val="231F20"/>
          <w:sz w:val="20"/>
        </w:rPr>
      </w:pPr>
      <w:r>
        <w:rPr>
          <w:rFonts w:ascii="Times New Roman" w:hAnsi="Times New Roman"/>
          <w:b/>
          <w:i/>
          <w:color w:val="231F2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16, 2021, the Company filed suit in the U.S. District Court for the District of Delaware (C.A. No. 1:21-cv-01317) (the “Court”)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the Company’s asserted patents-in-suit are not infringed and/or are invalid. In September 2022, Ivantis and Alcon filed petitions with the U.S. Patent Office seeking inter partes review of U.S. Patent Nos. 8,287,482, 9,370,443, 9,486,361, and 10,314,742 (IPR2022-01529, IPR2022-01530, IPR2022-01533, IPR2022-01540), each of which the U.S. Patent Office denied for raising prior art references and invalidity arguments that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were cumulative of those previously considered by the U.S. Patent Office. On April 26, 2024, at the conclusion of a five-day jury trial, the Company was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The Court is considering post-trial briefings by both parties, including with respect to potential enhancements to the damages and other remedies, and the Court's final judgment will be subject to appeal. The Company is presently unable to predict the outcome of this lawsuit or to reasonably estimate the potential financial impact of the lawsuit on the Company,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foregoing, from time to time, the Company is subject to legal claims, regulatory matters and contingencies in the ordinary course of business. Accruals for these matters are reflected in the financial statements based on management’s assessment, including the advice of legal counsel, of the expected outcome of these matters. Liabilities for estimated losses are accrued if the potential losses from any legal proceedings, regulatory matters or contingencies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legal claims, regulatory matters and contingencies, and may revise its previous estimates, which could materially affect the Company’s results of operations in a given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described above, as of June 30, 2024 and December 31, 2023, the Company was not a party to any legal proceedings, regulatory matters, or other disputes or claims which, if determined adversely, would, individually or taken together, have a material adverse effect on the Company’s business, financial condition, operating results, liquidity, or future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or officer may be subject to any proceeding arising out of acts or omissions of such director or officer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the fair value of these indemnification obligations is minimal. Accordingly, the Company has not recognized any liabilities relating to these obligations as of June 30, 2024 and December 31, 2023.</w:t>
      </w:r>
    </w:p>
    <w:p>
      <w:pPr>
        <w:pStyle w:val="TextBody"/>
        <w:bidi w:val="0"/>
        <w:jc w:val="left"/>
        <w:rPr/>
      </w:pP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Note 7.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Company’s certificate of incorporation provides for 200,000,000 authorized shares of common stock, par value $0.001 per share, and 10,000,000 authorized shares of preferred stock, par value $0.001 per share. The holders of common stock are entitled to receive dividends whenever funds are legally available, when and if declared by the board of directors. As of June 30, 2024, no dividends have been declared. Each share of common stock is entitled to one vote.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At June 30, 2024 and December 31, 2023, the Company had reserved common stock for future issuances as follows:</w:t>
      </w:r>
    </w:p>
    <w:tbl>
      <w:tblPr>
        <w:tblW w:w="8994" w:type="dxa"/>
        <w:jc w:val="left"/>
        <w:tblInd w:w="0" w:type="dxa"/>
        <w:tblLayout w:type="fixed"/>
        <w:tblCellMar>
          <w:top w:w="28" w:type="dxa"/>
          <w:left w:w="28" w:type="dxa"/>
          <w:bottom w:w="28" w:type="dxa"/>
          <w:right w:w="28" w:type="dxa"/>
        </w:tblCellMar>
      </w:tblPr>
      <w:tblGrid>
        <w:gridCol w:w="6001"/>
        <w:gridCol w:w="146"/>
        <w:gridCol w:w="146"/>
        <w:gridCol w:w="1036"/>
        <w:gridCol w:w="146"/>
        <w:gridCol w:w="146"/>
        <w:gridCol w:w="146"/>
        <w:gridCol w:w="1036"/>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6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5,926,286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6,033,176</w:t>
            </w:r>
          </w:p>
        </w:tc>
        <w:tc>
          <w:tcPr>
            <w:tcW w:w="1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4,675,830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4,980,190</w:t>
            </w:r>
          </w:p>
        </w:tc>
        <w:tc>
          <w:tcPr>
            <w:tcW w:w="19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2,721,361</w:t>
            </w:r>
          </w:p>
        </w:tc>
        <w:tc>
          <w:tcPr>
            <w:tcW w:w="1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purchase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1,488,227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17,367,180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15,222,954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 conjunction with the funding of the Initial Loan under the Hercules Loan Agreement, the Company issued common stock warrants to the Lenders to purchase up to an aggregate of 135,686 shares of our common stock at an exercise price of $5.159 per share. Each warrant is exercisable for up to seven years from the date of issuance. The warrants are classified as equity. During the six months ended June 30, 2024, the fair value of the issued warrants recorded was $0.6 million, which was calculated using the Black-Scholes option pricing model. These warrants were recorded at fair value upon their issuance in additional paid-in capital in the condensed consolidated balance sheet. The issued warrants are not remeasured after the issuance date.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If the additional Term Loans are funded, the Company will be obligated to issue to the Lenders additional warrants to purchase common stock in an amount equal to 2.0% of the funded balance of each tranche, divided by the exercise price on the date the Company draws funds from such tranche, or the issuance date. The exercise price will be calculated using the five-day volume-weighted average stock price as of such date.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unissued warrants do not meet the requirements for classification in equity, and are recorded as liabilities in other noncurrent liabilities in the financial statements. The fair value of the unissued common stock warrants was calculated using the Black-Scholes option pricing method and they were recorded at fair value upon the funding of the Hercules Loan Agreement. The unissued warrants are remeasured at each reporting date after the issuance date. According to the fair value measurement criteria, the unissued warrants are considered Level 3 liabilities, with an overall value of less than $0.1 million as of June 30, 2024.</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Note 8. Equity Incentive Plans</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2011 Stock Option Plan and 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2011, the Company established its 2011 Stock Option Plan (the “2011 Plan”) that provided for the granting of stock options to employees and nonemployees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 awards ("RSUs").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be not less than 110% of the grant date fair value of the shares. Options granted to new hires generally vest over a four-year period, with 25% of the shares vesting on the first anniversary of the grant date and the remaining shares vesting in 36 equal monthly installments thereafter; options granted as merit awards generally vest in 48 equal monthly installments following the grant date. RSUs granted generally vest over a four-year period with straight-line vesting in equal amounts.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initially reserved 5,200,000 shares of common stock for future issuance under the 2021 Plan. This initial reserve is subject to annual increase on the first day of each calendar year beginning on January 1, 2022 and ending on and including January 1, 2031. These annual increases are equal to the lesser of (i) 5% of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2,456,568 shares and 2,414,907 shares on January 1, 2024 and 2023,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2011 Plan was superseded by the 2021 Plan at the time of the IPO and no further grants have been made under the 2011 Plan from the date the 2021 Plan became effective. The terms under the 2011 Plan are consistent with those described above for the 2021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there were 5,926,286 shares and 6,033,176 shares, respectively, of common stock available for issuance under the 2021 Plan.</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activity under the 2021 Plan during the periods presented: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47"/>
        <w:gridCol w:w="146"/>
        <w:gridCol w:w="146"/>
        <w:gridCol w:w="931"/>
        <w:gridCol w:w="166"/>
        <w:gridCol w:w="146"/>
        <w:gridCol w:w="642"/>
        <w:gridCol w:w="1422"/>
        <w:gridCol w:w="146"/>
        <w:gridCol w:w="146"/>
        <w:gridCol w:w="423"/>
        <w:gridCol w:w="1048"/>
        <w:gridCol w:w="146"/>
        <w:gridCol w:w="146"/>
        <w:gridCol w:w="379"/>
        <w:gridCol w:w="1032"/>
        <w:gridCol w:w="393"/>
      </w:tblGrid>
      <w:tr>
        <w:trPr/>
        <w:tc>
          <w:tcPr>
            <w:tcW w:w="2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Contractual</w:t>
              <w:br/>
              <w:t>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Intrinsic Value </w:t>
              <w:b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1"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2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14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1"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2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Exercised/released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1"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274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7,271</w:t>
            </w:r>
          </w:p>
        </w:tc>
        <w:tc>
          <w:tcPr>
            <w:tcW w:w="393" w:type="dxa"/>
            <w:tcBorders/>
            <w:shd w:fill="CFF0FC" w:val="clear"/>
            <w:vAlign w:val="center"/>
          </w:tcPr>
          <w:p>
            <w:pPr>
              <w:pStyle w:val="TableContents"/>
              <w:bidi w:val="0"/>
              <w:spacing w:before="0" w:after="283"/>
              <w:jc w:val="left"/>
              <w:rPr/>
            </w:pPr>
            <w:r>
              <w:rPr/>
              <w:t> </w:t>
            </w:r>
          </w:p>
        </w:tc>
      </w:tr>
      <w:tr>
        <w:trPr/>
        <w:tc>
          <w:tcPr>
            <w:tcW w:w="2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393" w:type="dxa"/>
            <w:tcBorders/>
            <w:shd w:fill="FFFFFF" w:val="clear"/>
            <w:vAlign w:val="center"/>
          </w:tcPr>
          <w:p>
            <w:pPr>
              <w:pStyle w:val="TableContents"/>
              <w:bidi w:val="0"/>
              <w:spacing w:before="0" w:after="283"/>
              <w:jc w:val="left"/>
              <w:rPr/>
            </w:pPr>
            <w:r>
              <w:rPr/>
              <w:t> </w:t>
            </w:r>
          </w:p>
        </w:tc>
      </w:tr>
      <w:tr>
        <w:trPr/>
        <w:tc>
          <w:tcPr>
            <w:tcW w:w="27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7,271</w:t>
            </w:r>
          </w:p>
        </w:tc>
        <w:tc>
          <w:tcPr>
            <w:tcW w:w="393"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2024 and 2023, the Company recorded stock-based compensation expense of $1.9 million and $2.3 million related to stock option awards, respectively. During the six months ended June 30, 2024 and 2023, the Company recorded stock-based compensation expense of $3.8 million and $4.5 million related to stock option awards, respectively. The weighted-average grant-date fair values of options granted during the six months ended June 30, 2024 and 2023 was $2.71 and $6.94 per share,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options exercised was $0.1 million and $0.7 million during the three and six months ended June 30, 2024, respectively. The aggregate intrinsic value was calculated as the difference between the exercise prices of the underlying options and the estimated fair value of the common stock on the date of exercise. As of June 30, 2024, the unrecognized stock-based compensation expense relating to unvested options was $10.0 million, which is expected to be recognized over a weighted-average period of 1.4 years.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Determination of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estimated the grant date fair value of stock options using the Black-Scholes option-pricing model, which requires the use of high subjective and complex valuation assumptions to determine the fair value of stock-based awards, including the option’s expected term, the expected volatility of the underlying stock, the risk-free interest rate, and the expected dividend yield. For the purposes of the Black-Scholes valuation model, the Company used the simplified method for determining the expected term of the granted options. The simplified method was used since the Company does not have adequate historical data to utilize in calculating the expected term of options. The fair value for options granted was calculated using the following weighted average assumptions: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7309" w:type="dxa"/>
        <w:jc w:val="left"/>
        <w:tblInd w:w="0" w:type="dxa"/>
        <w:tblLayout w:type="fixed"/>
        <w:tblCellMar>
          <w:top w:w="28" w:type="dxa"/>
          <w:left w:w="28" w:type="dxa"/>
          <w:bottom w:w="28" w:type="dxa"/>
          <w:right w:w="28" w:type="dxa"/>
        </w:tblCellMar>
      </w:tblPr>
      <w:tblGrid>
        <w:gridCol w:w="2086"/>
        <w:gridCol w:w="146"/>
        <w:gridCol w:w="736"/>
        <w:gridCol w:w="146"/>
        <w:gridCol w:w="1561"/>
        <w:gridCol w:w="146"/>
        <w:gridCol w:w="736"/>
        <w:gridCol w:w="146"/>
        <w:gridCol w:w="160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w:t>
            </w:r>
          </w:p>
        </w:tc>
        <w:tc>
          <w:tcPr>
            <w:tcW w:w="146" w:type="dxa"/>
            <w:tcBorders/>
            <w:shd w:fill="CFF0FC" w:val="clear"/>
            <w:vAlign w:val="center"/>
          </w:tcPr>
          <w:p>
            <w:pPr>
              <w:pStyle w:val="TableContents"/>
              <w:bidi w:val="0"/>
              <w:spacing w:before="0" w:after="283"/>
              <w:jc w:val="center"/>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6.03 – 6.07</w:t>
            </w:r>
          </w:p>
        </w:tc>
        <w:tc>
          <w:tcPr>
            <w:tcW w:w="146" w:type="dxa"/>
            <w:tcBorders/>
            <w:shd w:fill="CFF0FC" w:val="clear"/>
            <w:vAlign w:val="center"/>
          </w:tcPr>
          <w:p>
            <w:pPr>
              <w:pStyle w:val="TableContents"/>
              <w:bidi w:val="0"/>
              <w:spacing w:before="0" w:after="283"/>
              <w:jc w:val="center"/>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w:t>
            </w:r>
          </w:p>
        </w:tc>
        <w:tc>
          <w:tcPr>
            <w:tcW w:w="146" w:type="dxa"/>
            <w:tcBorders/>
            <w:shd w:fill="CFF0FC" w:val="clear"/>
            <w:vAlign w:val="center"/>
          </w:tcPr>
          <w:p>
            <w:pPr>
              <w:pStyle w:val="TableContents"/>
              <w:bidi w:val="0"/>
              <w:spacing w:before="0" w:after="283"/>
              <w:jc w:val="center"/>
              <w:rPr/>
            </w:pPr>
            <w:r>
              <w:rPr/>
              <w:t> </w:t>
            </w:r>
          </w:p>
        </w:tc>
        <w:tc>
          <w:tcPr>
            <w:tcW w:w="16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5.60 – 6.07</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61.67%</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78.53% – 79.60%</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61.67%</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78.53% – 79.73%</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4.28%</w:t>
            </w:r>
          </w:p>
        </w:tc>
        <w:tc>
          <w:tcPr>
            <w:tcW w:w="146" w:type="dxa"/>
            <w:tcBorders/>
            <w:shd w:fill="CFF0FC" w:val="clear"/>
            <w:vAlign w:val="center"/>
          </w:tcPr>
          <w:p>
            <w:pPr>
              <w:pStyle w:val="TableContents"/>
              <w:bidi w:val="0"/>
              <w:spacing w:before="0" w:after="283"/>
              <w:jc w:val="center"/>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3.48% – 3.65%</w:t>
            </w:r>
          </w:p>
        </w:tc>
        <w:tc>
          <w:tcPr>
            <w:tcW w:w="146" w:type="dxa"/>
            <w:tcBorders/>
            <w:shd w:fill="CFF0FC" w:val="clear"/>
            <w:vAlign w:val="center"/>
          </w:tcPr>
          <w:p>
            <w:pPr>
              <w:pStyle w:val="TableContents"/>
              <w:bidi w:val="0"/>
              <w:spacing w:before="0" w:after="283"/>
              <w:jc w:val="center"/>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4.28%</w:t>
            </w:r>
          </w:p>
        </w:tc>
        <w:tc>
          <w:tcPr>
            <w:tcW w:w="146" w:type="dxa"/>
            <w:tcBorders/>
            <w:shd w:fill="CFF0FC" w:val="clear"/>
            <w:vAlign w:val="center"/>
          </w:tcPr>
          <w:p>
            <w:pPr>
              <w:pStyle w:val="TableContents"/>
              <w:bidi w:val="0"/>
              <w:spacing w:before="0" w:after="283"/>
              <w:jc w:val="center"/>
              <w:rPr/>
            </w:pPr>
            <w:r>
              <w:rPr/>
              <w:t> </w:t>
            </w:r>
          </w:p>
        </w:tc>
        <w:tc>
          <w:tcPr>
            <w:tcW w:w="16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3.48% – 3.67%</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5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606" w:type="dxa"/>
            <w:tcBorders/>
            <w:shd w:fill="FFFFFF" w:val="clear"/>
            <w:vAlign w:val="center"/>
          </w:tcPr>
          <w:p>
            <w:pPr>
              <w:pStyle w:val="TableContents"/>
              <w:bidi w:val="0"/>
              <w:spacing w:before="0" w:after="283"/>
              <w:jc w:val="center"/>
              <w:rPr>
                <w:color w:val="000000"/>
              </w:rPr>
            </w:pPr>
            <w:r>
              <w:rPr>
                <w:color w:val="000000"/>
              </w:rPr>
              <w:t>–</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share awards that entitle the holder to receive shares of common stock upon vesting. The RSUs cannot be transferred, and the awards are subject to forfeiture if the holder’s employment terminates prior to the release of the vesting restrictions. The RSUs generally vest either (i) annually over a four-year period with straight-line vesting in equal amounts, or (ii) quarterly over a four-year period with straight-line vesting in equal amounts, in each case provided the holder provides continuous services to the Company. The fair value of the RSUs is equal to the closing price of the Company’s common stock on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restricted share award activity:</w:t>
      </w:r>
    </w:p>
    <w:tbl>
      <w:tblPr>
        <w:tblW w:w="8737" w:type="dxa"/>
        <w:jc w:val="left"/>
        <w:tblInd w:w="0" w:type="dxa"/>
        <w:tblLayout w:type="fixed"/>
        <w:tblCellMar>
          <w:top w:w="28" w:type="dxa"/>
          <w:left w:w="28" w:type="dxa"/>
          <w:bottom w:w="28" w:type="dxa"/>
          <w:right w:w="28" w:type="dxa"/>
        </w:tblCellMar>
      </w:tblPr>
      <w:tblGrid>
        <w:gridCol w:w="2866"/>
        <w:gridCol w:w="146"/>
        <w:gridCol w:w="146"/>
        <w:gridCol w:w="931"/>
        <w:gridCol w:w="166"/>
        <w:gridCol w:w="146"/>
        <w:gridCol w:w="1228"/>
        <w:gridCol w:w="2717"/>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2,721,361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pPr>
            <w:r>
              <w:rPr/>
              <w:t> </w:t>
            </w:r>
          </w:p>
        </w:tc>
        <w:tc>
          <w:tcPr>
            <w:tcW w:w="2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pPr>
            <w:r>
              <w:rPr/>
              <w:t> </w:t>
            </w:r>
          </w:p>
        </w:tc>
        <w:tc>
          <w:tcPr>
            <w:tcW w:w="2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left"/>
              <w:rPr/>
            </w:pPr>
            <w:r>
              <w:rPr/>
              <w:t> </w:t>
            </w:r>
          </w:p>
        </w:tc>
        <w:tc>
          <w:tcPr>
            <w:tcW w:w="2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39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During the three months ended June 30, 2024 and 2023, the Company recorded stock-based compensation expense of $2.3 million and $1.4 million, respectively, related to the RSUs. During the six months ended June 30, 2024 and 2023, the Company recorded stock-based compensation expense of $4.6 million and $2.5 million, respectively, related to the RSUs. As of June 30, 2024, there was $23.4 million of total unrecognized stock-based compensation expense relating to the RSUs that is expected to be recognized over a weighted-average period of 2.9 years.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adopted and approved the 2021 Employee Stock Purchase Plan (the “ESPP”). 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 1%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491,313 and 482,981 shares on January 1,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offering periods annually, running for six months, with the first offering period beginning in the second quarter, and the second offering period beginning in the fourth quarter. The purchase of shares for participants in the ESPP occurs at the conclusion of each offering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2024, participants in the ESPP purchased 232,290 shares for a total of $0.5 million. As of June 30, 2024, the Company has collected payroll withholdings of $0.1 million in the current offering period for the purchase of shares under the ESPP. The Company recorded stock-based compensation expense associated with the ESPP of $0.2 million and $0.1 million for the three months ended June 30, 2024 and 2023, respectively. The Company recorded stock-based compensation expense associated with the ESPP of $0.3 million and $0.3 million for the six months ended June 30, 2024 and 2023,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there were 1,979,540 shares of common stock available for issuance under the ESPP.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shares to be issued under the ESPP was estimated using the Black-Scholes valuation model with the following assumptions for the three and six months ended June 30, 2024 and 2023, respectively:</w:t>
      </w:r>
    </w:p>
    <w:p>
      <w:pPr>
        <w:pStyle w:val="TextBody"/>
        <w:bidi w:val="0"/>
        <w:spacing w:before="120" w:after="283"/>
        <w:jc w:val="left"/>
        <w:rPr/>
      </w:pPr>
      <w:r>
        <w:rPr/>
        <w:t> </w:t>
      </w:r>
    </w:p>
    <w:tbl>
      <w:tblPr>
        <w:tblW w:w="9379" w:type="dxa"/>
        <w:jc w:val="left"/>
        <w:tblInd w:w="0" w:type="dxa"/>
        <w:tblLayout w:type="fixed"/>
        <w:tblCellMar>
          <w:top w:w="28" w:type="dxa"/>
          <w:left w:w="28" w:type="dxa"/>
          <w:bottom w:w="28" w:type="dxa"/>
          <w:right w:w="28" w:type="dxa"/>
        </w:tblCellMar>
      </w:tblPr>
      <w:tblGrid>
        <w:gridCol w:w="2086"/>
        <w:gridCol w:w="146"/>
        <w:gridCol w:w="1771"/>
        <w:gridCol w:w="146"/>
        <w:gridCol w:w="1561"/>
        <w:gridCol w:w="146"/>
        <w:gridCol w:w="1771"/>
        <w:gridCol w:w="146"/>
        <w:gridCol w:w="160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7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vAlign w:val="center"/>
          </w:tcPr>
          <w:p>
            <w:pPr>
              <w:pStyle w:val="TableContents"/>
              <w:bidi w:val="0"/>
              <w:spacing w:before="0" w:after="283"/>
              <w:jc w:val="center"/>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0.48 – 0.50</w:t>
            </w:r>
          </w:p>
        </w:tc>
        <w:tc>
          <w:tcPr>
            <w:tcW w:w="146" w:type="dxa"/>
            <w:tcBorders/>
            <w:shd w:fill="CFF0FC" w:val="clear"/>
            <w:vAlign w:val="center"/>
          </w:tcPr>
          <w:p>
            <w:pPr>
              <w:pStyle w:val="TableContents"/>
              <w:bidi w:val="0"/>
              <w:spacing w:before="0" w:after="283"/>
              <w:jc w:val="center"/>
              <w:rPr/>
            </w:pPr>
            <w:r>
              <w:rPr/>
              <w:t> </w:t>
            </w:r>
          </w:p>
        </w:tc>
        <w:tc>
          <w:tcPr>
            <w:tcW w:w="17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vAlign w:val="center"/>
          </w:tcPr>
          <w:p>
            <w:pPr>
              <w:pStyle w:val="TableContents"/>
              <w:bidi w:val="0"/>
              <w:spacing w:before="0" w:after="283"/>
              <w:jc w:val="center"/>
              <w:rPr/>
            </w:pPr>
            <w:r>
              <w:rPr/>
              <w:t> </w:t>
            </w:r>
          </w:p>
        </w:tc>
        <w:tc>
          <w:tcPr>
            <w:tcW w:w="16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0.48 – 0.50</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 – 197.51%</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66.72% – 97.38%</w:t>
            </w:r>
          </w:p>
        </w:tc>
        <w:tc>
          <w:tcPr>
            <w:tcW w:w="146"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 – 197.51%</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66.72% – 97.38%</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7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5.37% – 5.40%</w:t>
            </w:r>
          </w:p>
        </w:tc>
        <w:tc>
          <w:tcPr>
            <w:tcW w:w="146" w:type="dxa"/>
            <w:tcBorders/>
            <w:shd w:fill="CFF0FC" w:val="clear"/>
            <w:vAlign w:val="center"/>
          </w:tcPr>
          <w:p>
            <w:pPr>
              <w:pStyle w:val="TableContents"/>
              <w:bidi w:val="0"/>
              <w:spacing w:before="0" w:after="283"/>
              <w:jc w:val="center"/>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4.62% – 5.32%</w:t>
            </w:r>
          </w:p>
        </w:tc>
        <w:tc>
          <w:tcPr>
            <w:tcW w:w="146" w:type="dxa"/>
            <w:tcBorders/>
            <w:shd w:fill="CFF0FC" w:val="clear"/>
            <w:vAlign w:val="center"/>
          </w:tcPr>
          <w:p>
            <w:pPr>
              <w:pStyle w:val="TableContents"/>
              <w:bidi w:val="0"/>
              <w:spacing w:before="0" w:after="283"/>
              <w:jc w:val="center"/>
              <w:rPr/>
            </w:pPr>
            <w:r>
              <w:rPr/>
              <w:t> </w:t>
            </w:r>
          </w:p>
        </w:tc>
        <w:tc>
          <w:tcPr>
            <w:tcW w:w="17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5.37% – 5.40%</w:t>
            </w:r>
          </w:p>
        </w:tc>
        <w:tc>
          <w:tcPr>
            <w:tcW w:w="146" w:type="dxa"/>
            <w:tcBorders/>
            <w:shd w:fill="CFF0FC" w:val="clear"/>
            <w:vAlign w:val="center"/>
          </w:tcPr>
          <w:p>
            <w:pPr>
              <w:pStyle w:val="TableContents"/>
              <w:bidi w:val="0"/>
              <w:spacing w:before="0" w:after="283"/>
              <w:jc w:val="center"/>
              <w:rPr/>
            </w:pPr>
            <w:r>
              <w:rPr/>
              <w:t> </w:t>
            </w:r>
          </w:p>
        </w:tc>
        <w:tc>
          <w:tcPr>
            <w:tcW w:w="16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4.62% – 5.32%</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77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5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77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606" w:type="dxa"/>
            <w:tcBorders/>
            <w:shd w:fill="FFFFFF" w:val="clear"/>
            <w:vAlign w:val="center"/>
          </w:tcPr>
          <w:p>
            <w:pPr>
              <w:pStyle w:val="TableContents"/>
              <w:bidi w:val="0"/>
              <w:spacing w:before="0" w:after="283"/>
              <w:jc w:val="center"/>
              <w:rPr>
                <w:color w:val="000000"/>
              </w:rPr>
            </w:pPr>
            <w:r>
              <w:rPr>
                <w:color w:val="000000"/>
              </w:rPr>
              <w:t>–</w:t>
            </w:r>
          </w:p>
        </w:tc>
      </w:tr>
    </w:tbl>
    <w:p>
      <w:pPr>
        <w:pStyle w:val="TextBody"/>
        <w:bidi w:val="0"/>
        <w:spacing w:before="240" w:after="120"/>
        <w:jc w:val="left"/>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stock-based compensation expense by function (in thousands):</w:t>
      </w:r>
    </w:p>
    <w:p>
      <w:pPr>
        <w:pStyle w:val="TextBody"/>
        <w:bidi w:val="0"/>
        <w:spacing w:before="120" w:after="283"/>
        <w:jc w:val="left"/>
        <w:rPr/>
      </w:pPr>
      <w:r>
        <w:rPr/>
        <w:t> </w:t>
      </w:r>
    </w:p>
    <w:tbl>
      <w:tblPr>
        <w:tblW w:w="8192"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571"/>
        <w:gridCol w:w="146"/>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Note 9.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for the period. As the Company reported a net loss for the three and six months ended June 30, 2024 and 2023, basic net loss per share is the same as diluted net loss per share for each of the reported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for the periods presented (in thousands, except share and per share data):</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(31,821</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of common stock</w:t>
              <w:br/>
              <w:t>   outstanding—basic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49,903,386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48,536,310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49,694,825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48,471,153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share attributable to common</w:t>
              <w:br/>
              <w:t>   stockholders—basic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potentially dilutive issued and outstanding securities were excluded from the computation of diluted net loss per share attributable to common stockholders for the period presented because including them would have been antidilutive as a result of the net loss position:</w:t>
      </w:r>
    </w:p>
    <w:p>
      <w:pPr>
        <w:pStyle w:val="TextBody"/>
        <w:bidi w:val="0"/>
        <w:spacing w:before="120" w:after="283"/>
        <w:jc w:val="left"/>
        <w:rPr/>
      </w:pPr>
      <w:r>
        <w:rPr/>
        <w:t> </w:t>
      </w:r>
    </w:p>
    <w:tbl>
      <w:tblPr>
        <w:tblW w:w="4854" w:type="dxa"/>
        <w:jc w:val="left"/>
        <w:tblInd w:w="0" w:type="dxa"/>
        <w:tblLayout w:type="fixed"/>
        <w:tblCellMar>
          <w:top w:w="28" w:type="dxa"/>
          <w:left w:w="28" w:type="dxa"/>
          <w:bottom w:w="28" w:type="dxa"/>
          <w:right w:w="28" w:type="dxa"/>
        </w:tblCellMar>
      </w:tblPr>
      <w:tblGrid>
        <w:gridCol w:w="2071"/>
        <w:gridCol w:w="146"/>
        <w:gridCol w:w="146"/>
        <w:gridCol w:w="931"/>
        <w:gridCol w:w="146"/>
        <w:gridCol w:w="146"/>
        <w:gridCol w:w="146"/>
        <w:gridCol w:w="93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4,869,644</w:t>
            </w:r>
          </w:p>
        </w:tc>
        <w:tc>
          <w:tcPr>
            <w:tcW w:w="1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1,906,435</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9,597,040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6,776,079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10.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two reportable operating segments which are determined on the basis of the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Surgical Glaucoma segment includes sales of the Company’s OMNI Surgical System and SION Surgical Instrument for use in minimally invasive glaucoma procedures. The Dry Eye segment includes sales of the Company’s TearCare System and related components.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select operating results information for each reportable segment (in thousands):</w:t>
      </w:r>
    </w:p>
    <w:p>
      <w:pPr>
        <w:pStyle w:val="TextBody"/>
        <w:bidi w:val="0"/>
        <w:spacing w:before="120" w:after="283"/>
        <w:jc w:val="left"/>
        <w:rPr/>
      </w:pPr>
      <w:r>
        <w:rPr/>
        <w:t> </w:t>
      </w:r>
    </w:p>
    <w:tbl>
      <w:tblPr>
        <w:tblW w:w="8137" w:type="dxa"/>
        <w:jc w:val="left"/>
        <w:tblInd w:w="0" w:type="dxa"/>
        <w:tblLayout w:type="fixed"/>
        <w:tblCellMar>
          <w:top w:w="28" w:type="dxa"/>
          <w:left w:w="28" w:type="dxa"/>
          <w:bottom w:w="28" w:type="dxa"/>
          <w:right w:w="28" w:type="dxa"/>
        </w:tblCellMar>
      </w:tblPr>
      <w:tblGrid>
        <w:gridCol w:w="2676"/>
        <w:gridCol w:w="146"/>
        <w:gridCol w:w="211"/>
        <w:gridCol w:w="736"/>
        <w:gridCol w:w="166"/>
        <w:gridCol w:w="146"/>
        <w:gridCol w:w="211"/>
        <w:gridCol w:w="736"/>
        <w:gridCol w:w="166"/>
        <w:gridCol w:w="146"/>
        <w:gridCol w:w="211"/>
        <w:gridCol w:w="736"/>
        <w:gridCol w:w="166"/>
        <w:gridCol w:w="146"/>
        <w:gridCol w:w="211"/>
        <w:gridCol w:w="736"/>
        <w:gridCol w:w="5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42,296</w:t>
            </w:r>
          </w:p>
        </w:tc>
        <w:tc>
          <w:tcPr>
            <w:tcW w:w="591" w:type="dxa"/>
            <w:tcBorders/>
            <w:shd w:fill="FFFFFF" w:val="clear"/>
            <w:vAlign w:val="center"/>
          </w:tcPr>
          <w:p>
            <w:pPr>
              <w:pStyle w:val="TableContents"/>
              <w:bidi w:val="0"/>
              <w:spacing w:before="0" w:after="283"/>
              <w:jc w:val="left"/>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591" w:type="dxa"/>
            <w:tcBorders/>
            <w:shd w:fill="FFFFFF" w:val="clear"/>
            <w:vAlign w:val="center"/>
          </w:tcPr>
          <w:p>
            <w:pPr>
              <w:pStyle w:val="TableContents"/>
              <w:bidi w:val="0"/>
              <w:spacing w:before="0" w:after="283"/>
              <w:jc w:val="left"/>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(32,754</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allocate any income and expenses beyond revenue and cost of goods sold to the reportable operating segments in its reporting to the CODM. No asset information is provided for reportable operating segments because they are not reviewed by the CODM on a segment basis. Substantially all of the Company’s revenue is generated from sales in the United States.</w:t>
      </w:r>
    </w:p>
    <w:p>
      <w:pPr>
        <w:pStyle w:val="TextBody"/>
        <w:bidi w:val="0"/>
        <w:jc w:val="left"/>
        <w:rPr/>
      </w:pPr>
      <w:r>
        <w:rPr/>
        <w:t> </w:t>
      </w:r>
    </w:p>
    <w:p>
      <w:pPr>
        <w:pStyle w:val="TextBody"/>
        <w:bidi w:val="0"/>
        <w:spacing w:before="36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the related notes and other financial information included in Park I, Item 1, “Financial Statements,” within this Quarterly Report and our audited consolidated financial statements and related notes included in Part II, Item 8, “Financial Statements and Supplementary Data,” in our Annual Report. Certain statements included in this discussion and analysis constitute “forward-looking statements” that are subject to considerable risks and uncertainties. Please see the information under the heading “Special Note Regarding Forward-Looking Statements” in this Quarterly Report.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Sight Sciences’ mission is to develop transformative, interventional technologies that allow eyecare providers to procedurally elevate the standards of care – empowering people to keep seeing. We are passionate about improving patients’ lives by helping them preserve their sight.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comprehensively understanding disease physiology;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products that are intended to preserve, protect, and restore natural physiological functionality to diseased eyes;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and marketing products with proven clinical evidence that achieve superior effectiveness versus current treatment paradigms while minimizing complications or side effects;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providing intuitive, patient-friendly, interventional solutions to ophthalmologists and optometrists (together, "ECPs");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delivering compelling economic value to all stakeholders, including patients, providers and third-party payors such as Medicare and commercial insurers.</w:t>
      </w:r>
    </w:p>
    <w:p>
      <w:pPr>
        <w:pStyle w:val="TextBody"/>
        <w:bidi w:val="0"/>
        <w:spacing w:before="120" w:after="283"/>
        <w:jc w:val="left"/>
        <w:rPr>
          <w:rFonts w:ascii="Times New Roman" w:hAnsi="Times New Roman"/>
          <w:sz w:val="20"/>
        </w:rPr>
      </w:pPr>
      <w:r>
        <w:rPr>
          <w:rFonts w:ascii="Times New Roman" w:hAnsi="Times New Roman"/>
          <w:color w:val="231F20"/>
          <w:sz w:val="20"/>
        </w:rPr>
        <w:t>O</w:t>
      </w:r>
      <w:r>
        <w:rPr>
          <w:rFonts w:ascii="Times New Roman" w:hAnsi="Times New Roman"/>
          <w:color w:val="000000"/>
          <w:sz w:val="20"/>
        </w:rPr>
        <w:t xml:space="preserve">ur initial product development has focused on the treatment of two of the world’s most prevalent and underserved eye diseases, glaucoma and dry eye disease (“DED”). We have commercialized products in each of our two reportable operating segments, Surgical Glaucoma and Dry Eye. Our Surgical Glaucoma segment consists of sales of the OMNI® Surgical System ("OMNI") and the SION® Surgical Instrument ("SION"), while our Dry Eye segment includes sales of the TearCare® System ("TearCare"), and related components and accessories. Each product is primarily sold through a highly involved direct sales model that offers intensive education, training and customer service. We believe this philosophy and model not only enable us to differentiate our products and company from competitors, but also expand our addressable market by educating ECPs, patients and other stakeholders on our products and evolving treatment paradigms. Outside of the U.S., we have established direct commercial operations in the United Kingdom and Germany. We sell OMNI in several other countries through distributors. </w:t>
      </w:r>
    </w:p>
    <w:p>
      <w:pPr>
        <w:pStyle w:val="TextBody"/>
        <w:bidi w:val="0"/>
        <w:spacing w:before="120" w:after="283"/>
        <w:jc w:val="left"/>
        <w:rPr>
          <w:rFonts w:ascii="Times New Roman" w:hAnsi="Times New Roman"/>
          <w:sz w:val="20"/>
        </w:rPr>
      </w:pPr>
      <w:r>
        <w:rPr>
          <w:rFonts w:ascii="Times New Roman" w:hAnsi="Times New Roman"/>
          <w:color w:val="000000"/>
          <w:sz w:val="20"/>
        </w:rPr>
        <w:t>We sell OMNI and SION to facilities where ophthalmic surgeons perform outpatient procedures, such as ambulatory surgery centers ("ASCs") and hospital outpatient departments ("</w:t>
      </w:r>
      <w:r>
        <w:rPr>
          <w:rFonts w:ascii="Times New Roman" w:hAnsi="Times New Roman"/>
          <w:color w:val="231F20"/>
          <w:sz w:val="20"/>
        </w:rPr>
        <w:t>HOPDs"),</w:t>
      </w:r>
      <w:r>
        <w:rPr>
          <w:rFonts w:ascii="Times New Roman" w:hAnsi="Times New Roman"/>
          <w:color w:val="000000"/>
          <w:sz w:val="20"/>
        </w:rPr>
        <w:t xml:space="preserve"> which are typically reimbursed by Medicare or private payors for procedures using our products. We sell TearCare to ECPs. Currently, there is no meaningful reimbursement coverage by Medicare or private payors for MGD procedures, including TearCare, and patients typically pay out-of-pocket for TearCare, although some payors may agree to provide case-based coverage outside of a formal policy. We are continuing our controlled commercial launch and are focused on our comprehensive, clinical data-driven long-term market development plan that aims to improve awareness and patient access to TearCare. We have dedicated meaningful resources to execute our commercial strategy as we reduce operating expenses and improve cost efficiencies to better align our operating structure for long-term, profitable growth. The overall success of our approach to eyecare to date is evidenced by over 250,000 estimated uses of Surgical Glaucoma products and their predicates in over 2,000 hospitals and ASCs in the U.S. and Europe, and over 60,000 estimated uses of TearCare in over 1,500 eyecare facilities in the U.S. through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operate any manufacturing facilities and instead contract with third parties for our production requirements. We believe our suppliers will be able to meet our current and anticipated manufacturing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needs across all our products. We plan to continue to utilize third party contract manufacturers for our products and any related components.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Revenue in our Surgical Glaucoma segment for the six-months ended June 30, 2024 and 2023 was $38.5 million and $38.7 million, respectively, with gross margins for the same periods of 88.0% and 87.6%, respectively. Revenue in our Dry Eye segment for the six-months ended June 30, 2024 and 2023 was $2.1 million and $3.6 million, respectively, with gross margins for the same periods of 44.4% and 54.4%, respectively. </w:t>
      </w:r>
      <w:r>
        <w:rPr>
          <w:rFonts w:ascii="Times New Roman" w:hAnsi="Times New Roman"/>
          <w:color w:val="000000"/>
          <w:sz w:val="20"/>
        </w:rPr>
        <w:t xml:space="preserve">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 In addition, we expect lower demand and related gross margin in the Dry Eye segment in the second half of 2024 due to our increase in dry eye pricing effective October 1, 2024, which we believe will have a significant negative impact on cash-pay volumes. We expect TearCare procedure revenues will return to a growth trajectory upon receipt of positive payer coverage determinations that provide for sufficient and equitable reimbursement. We currently anticipate that we and our customers will begin receiving these coverage and payment determinations in 2025. In the first two quarters of 2024, approximately 95% of our revenue </w:t>
      </w:r>
      <w:r>
        <w:rPr>
          <w:rFonts w:ascii="Times New Roman" w:hAnsi="Times New Roman"/>
          <w:color w:val="231F20"/>
          <w:sz w:val="20"/>
        </w:rPr>
        <w:t>was generated from customers in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in the importance of continued strategic investment in initiatives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demonstrate our products’ clinical effectiveness and safety to potential customers, patients, payors and regulators including establishing OMNI and SION as standards of care of interventional glaucoma treatment among MIGS-trained surgeons, developing the standalone MIGS market, and pursuing coverage and equitable reimbursement for TearCare;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enhance our commercial capabilities and expertise, including resources dedicated to sales, marketing and education;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the broadest possible patient access to the treatment alternatives that our products are cleared to offer; enhance and improve upon our existing product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our existing international markets and expand into new international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us to create transformational and interventional technology innovation with new products, devices or drugs, in glaucoma and ocular surface disease or in new eye disease areas.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we intend to continue to invest in clinical studies, sales and marketing, education initiatives, market access, and product development. However, we are also focused on disciplined expenditures, and seek to grow our operating expenses at a lower rate than revenue. Because of these and other factors, we expect to continue to incur net losses for at least the next several years, and we may seek additional debt and equity financing to fund our operations and planned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primary sources of capital have been private placements of redeemable convertible preferred stock, debt financing agreements, the sale of common stock in our IPO, and revenue from the sale of our products. As of June 30, 2024, we had an outstanding term loan balance of $35.0 million (excluding debt discount and amortized debt issuance costs), cash and cash equivalents of $118.2 million and an accumulated deficit of $323.4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Factors Affecting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are several important factors that have impacted and that will continue to impact our business, financial condition, and results of operations. Except as described in Part II, Item 1A, "Risk Factors," of this Quarterly Report, except as described below, there have been no material changes to such factors from those described in our Annual Report under the heading "Factors Affecting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sufficient coverage and reimbursement for procedures involving our OMNI technology is fundamental to our business and prospects, with Medicare providing reimbursement for procedures that account for a majority of our sales revenues. As such, our business and results of operation are in material part dependent upon Medicare reimbursement policies applicable to OMNI procedures. Recent occurrences that could reasonably be expected to materially impact Medicare reimbursement for OMNI procedures include the following: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five of the seven Medicare Administrative Contractors (“MACs”), published proposed local coverage determinations (the “Proposed LCDs”) that, if finalized, will establish new Medicare coverage policies for certain minimally invasive glaucoma surgical procedures ("MIGS procedures") performed in these MACs' jurisdictions. Unlike the LCDs previously published and later withdrawn by these MACs in 2023, the Proposed LCDs do not characterize the OMNI procedure as investigational. If the Proposed LCDs are finalized and go into effect in their current form, Medicare coverage will remain available under the LCDs for MIGS procedures involving the OMNI technology. Each of the Proposed LCDs, if finalized in their current form, would adopt a non-coverage policy when an aqueous shunt or stent procedure is performed with another surgical MIGS procedure, such as canaloplasty or goniotomy, at the same time in the same patient eye. We expect this proposed non-coverage for multiple MIGS procedures, if finalized, may reduce overall MIGS procedure volumes. Given OMNI's comprehensive treatment of the conventional outflow pathway, we believe OMNI provides an effective single MIGS procedure option for cases that were previously treated with a combination of MIGS procedures, but we cannot assure you that the Proposed LCDs, if finalized, will not have an adverse impact on future OMNI sales and therefore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CMS issued the calendar year (CY) 2025 Hospital Outpatient Prospective Payment System (OPPS) and ASC Payment System proposed rule (the “Proposed Rule”) setting forth proposed Medicare payment rates for hospital outpatient and ASC services in 2025. Pursuant to the Proposed Rule, Current Procedural Terminology (CPT) code 66174, which is a code used to report procedures performed with our OMNI technology, was awarded device-intensive status for procedures performed in the ASC setting. If the final rule, which we expect will be issued in the fourth quarter of 2024, confirms device-intensive status for CPT code 66174, then Medicare facility reimbursement for such procedures performed in the ASC setting will increase by approximately $600 compared to 2024 ASC facility reimbursement amounts. We believe that such an increase in reimbursement, if finalized, would materially benefit us and our customers, and allow our OMNI technology to compete more effectively in the marketplace in 2025. Device-intensive designations are granted for a period of one year only and are based on CMS’ review of applicable claims data. If CPT code 66174 does not meet the eligibility criteria for device-intensive status in CY2025 or any subsequent calendar year, then Medicare reimbursement for this service when performed in the ASC will accordingly decrease at the start of the next year after device-intensive status is removed.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color w:val="231F20"/>
          <w:sz w:val="20"/>
        </w:rPr>
        <w:t>We currently derive the majority of our U.S. revenue from the sale of our OMNI and SION products to ASCs and HOPDs and our TearCare products to ECPs. To date, the revenue from our Surgical Glaucoma segment has accounted for over 90% of our total revenue, substantially all of which was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TearCare SmartHubs</w:t>
      </w:r>
      <w:r>
        <w:rPr>
          <w:rFonts w:ascii="Times New Roman" w:hAnsi="Times New Roman"/>
          <w:color w:val="231F20"/>
          <w:sz w:val="13"/>
        </w:rPr>
        <w:t>TM</w:t>
      </w:r>
      <w:r>
        <w:rPr>
          <w:rFonts w:ascii="Times New Roman" w:hAnsi="Times New Roman"/>
          <w:color w:val="231F20"/>
          <w:sz w:val="20"/>
        </w:rPr>
        <w:t xml:space="preserve"> (“SmartHubs”), multiple single-use TearCare SmartLids® (“SmartLids”) and other accessories. After utilizing their initial inventory, customers can reorder SmartLids as needed. No single customer accounted for 10% or more of our revenue for the six months ended June 30, 2024 and 2023.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growth in our revenue is driven by the demand for elective surgery and treatment utilizing our products in the United States and Europe. Such demand is often lower during summer months because of ECP vacations and in winter months because of fewer business or surgery days due to holidays and adverse weather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Goods Sold and Gross Margin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components and products are produced by third-party suppliers and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calculate gross margin as gross profit divided by revenue. Our gross margin has been and we believe it will continue to be, affected by a variety of factors, including differences in segment gross margins, changes in average selling prices, product sales mix, production and ordering volumes, manufacturing costs, product yields, and headcount. In general, we expect our gross margins to increase over the long term to the extent our production and ordering volumes increase and as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our product mix varies, we transition to new suppliers, introduce new products, and adopt new manufacturing processes and technologies.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information technology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programs, develop new products, and improve our existing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Income</w:t>
      </w:r>
    </w:p>
    <w:p>
      <w:pPr>
        <w:pStyle w:val="TextBody"/>
        <w:bidi w:val="0"/>
        <w:spacing w:before="120" w:after="283"/>
        <w:jc w:val="left"/>
        <w:rPr>
          <w:rFonts w:ascii="Times New Roman" w:hAnsi="Times New Roman"/>
          <w:sz w:val="20"/>
        </w:rPr>
      </w:pPr>
      <w:r>
        <w:rPr>
          <w:rFonts w:ascii="Times New Roman" w:hAnsi="Times New Roman"/>
          <w:color w:val="231F20"/>
          <w:sz w:val="20"/>
        </w:rPr>
        <w:t>Investment income primarily consists of interest and amortization on held-to-maturity investments in treasury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interest incurred on our outstanding indebtedness and non-cash interest related to the accretion of debt discount and amortization of debt issuance costs associated with our term loan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loss on debt extinguishment is associated with the Company's termination and settlement of the MidCap Term Loan.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expense, net primarily consists of income and expenses that do not originate from the Company's primary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2024 and 2023 (dollars in thousands)</w:t>
      </w:r>
    </w:p>
    <w:p>
      <w:pPr>
        <w:pStyle w:val="TextBody"/>
        <w:bidi w:val="0"/>
        <w:spacing w:before="120" w:after="283"/>
        <w:jc w:val="left"/>
        <w:rPr/>
      </w:pPr>
      <w:r>
        <w:rPr/>
        <w:t> </w:t>
      </w:r>
    </w:p>
    <w:tbl>
      <w:tblPr>
        <w:tblW w:w="8922" w:type="dxa"/>
        <w:jc w:val="left"/>
        <w:tblInd w:w="0" w:type="dxa"/>
        <w:tblLayout w:type="fixed"/>
        <w:tblCellMar>
          <w:top w:w="28" w:type="dxa"/>
          <w:left w:w="28" w:type="dxa"/>
          <w:bottom w:w="28" w:type="dxa"/>
          <w:right w:w="28" w:type="dxa"/>
        </w:tblCellMar>
      </w:tblPr>
      <w:tblGrid>
        <w:gridCol w:w="3156"/>
        <w:gridCol w:w="146"/>
        <w:gridCol w:w="211"/>
        <w:gridCol w:w="736"/>
        <w:gridCol w:w="271"/>
        <w:gridCol w:w="146"/>
        <w:gridCol w:w="211"/>
        <w:gridCol w:w="736"/>
        <w:gridCol w:w="271"/>
        <w:gridCol w:w="146"/>
        <w:gridCol w:w="211"/>
        <w:gridCol w:w="631"/>
        <w:gridCol w:w="166"/>
        <w:gridCol w:w="146"/>
        <w:gridCol w:w="146"/>
        <w:gridCol w:w="781"/>
        <w:gridCol w:w="81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94.7</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91.2</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88.0</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88.6</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46.5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85.8</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85.6</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811" w:type="dxa"/>
            <w:tcBorders/>
            <w:shd w:fill="CFF0FC"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811" w:type="dxa"/>
            <w:tcBorders/>
            <w:shd w:fill="FFFFFF" w:val="clear"/>
            <w:vAlign w:val="center"/>
          </w:tcPr>
          <w:p>
            <w:pPr>
              <w:pStyle w:val="TableContents"/>
              <w:bidi w:val="0"/>
              <w:spacing w:before="0" w:after="283"/>
              <w:jc w:val="lef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811" w:type="dxa"/>
            <w:tcBorders/>
            <w:shd w:fill="CFF0FC"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811" w:type="dxa"/>
            <w:tcBorders/>
            <w:shd w:fill="FFFFFF" w:val="clear"/>
            <w:vAlign w:val="center"/>
          </w:tcPr>
          <w:p>
            <w:pPr>
              <w:pStyle w:val="TableContents"/>
              <w:bidi w:val="0"/>
              <w:spacing w:before="0" w:after="283"/>
              <w:jc w:val="righ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811" w:type="dxa"/>
            <w:tcBorders/>
            <w:shd w:fill="CFF0FC"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Our Surgical Glaucoma revenue for the three months ended June 30, 2024 was $20.2 million, a decrease of $1.2 million, or 5.4%, from the prior year comparable period. The overall decrease in Surgical Glaucoma revenue was primarily attributable to a decrease in the number of OMNI units sold and a lower average selling price primarily due to product mix in the three months ended June 30, 2024. This decline in units sold was primarily driven by a decrease in unit utilization per ordering facility. Our Dry Eye revenue decreased 45.7% in the three months ended June 30, 2024 compared to the prior year comparable period primarily due to fewer new customers added in the period, which led to lower SmartHub revenue and fewer SmartLids purchased. The primary driver of fewer new customers added and lower units sold was due to the Company’s focus on the next phase of its commercial strategy for its Dry Eye segment which involves achieving market access. </w:t>
      </w:r>
    </w:p>
    <w:p>
      <w:pPr>
        <w:pStyle w:val="TextBody"/>
        <w:bidi w:val="0"/>
        <w:spacing w:before="24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Cost of goods sold was $3.0 million during the three months ended June 30, 2024, a decrease of $0.4 million from $3.4 million in the prior year comparable period. Our Surgical Glaucoma cost of goods sold decreased less than $0.1 million as compared to the prior year comparable period. The decrease was primarily driven by lower sales volumes and product sales mix. Our Dry Eye cost of goods sold decreased $0.3 million in the three months ended June 30, 2024 compared to the comparable period in 2023, primarily driven by lower sales volumes and product mix.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Gross Profit. </w:t>
      </w:r>
      <w:r>
        <w:rPr>
          <w:rFonts w:ascii="Times New Roman" w:hAnsi="Times New Roman"/>
          <w:color w:val="000000"/>
          <w:sz w:val="20"/>
        </w:rPr>
        <w:t>Our total gross profit was $18.3 million in the three months ended June 30, 2024, a decrease of $1.7 million from the prior year comparable period. Our total gross margin for the three months ended June 30, 2024 increased to 85.8%, up from 85.6% in the prior year comparable period, primarily due to increased mix toward our higher gross margin Surgical Glaucoma segment, partially offset by declines in gross margin of both segments. Gross margin in our Surgical Glaucoma segment was 88.0% for the quarter ended June 30, 2024, a decrease from 88.6% for the prior year comparable period, primarily due to product sales mix. In our Dry Eye segment, gross margin decreased from 54.8% in the second quarter of 2023 to 46.5% in the second quarter of 2024, primarily due to product sales mix and higher overhead costs per unit due to lower volumes.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R&amp;D expenses during the three months ended June 30, 2024 decreased $0.9 million, or 17.3%, to $4.3 million. The decrease was primarily driven by a $0.7 million decrease in clinical studies and general research and development expenses, as well as a $0.4 million decrease in payroll expenses. </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SG&amp;A expenses were $26.7 million for the three months ended June 30, 2024, a decrease of $3.4 million from the prior year comparable period. The decrease was primarily driven by a $2.9 million decrease in personnel expenses, including lower commissions during the current period. In addition, the Company saw a $0.7 million decrease in marketing expenses, a $0.7 million decrease in travel and entertainment expenses, and a $0.3 million decrease in facilities expenses. These decreases were partially offset by a $0.8 million increase in accounting and legal expenses, as well as a $0.5 million increase in stock-based compensation expenses.</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Income</w:t>
      </w:r>
      <w:r>
        <w:rPr>
          <w:rFonts w:ascii="Times New Roman" w:hAnsi="Times New Roman"/>
          <w:color w:val="000000"/>
          <w:sz w:val="20"/>
        </w:rPr>
        <w:t xml:space="preserve">. Investment income was $1.5 million for the three months ended June 30, 2024, a decline of $0.3 million from the prior year comparable period. The decline was due to lower investment balances during the current year.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decreased $0.2 million, due to lower lending rates associated with the refinanced debt agreement during the three months ended June 30, 2024 compared to the three months ended June 30, 2023. </w:t>
      </w:r>
    </w:p>
    <w:p>
      <w:pPr>
        <w:pStyle w:val="TextBody"/>
        <w:bidi w:val="0"/>
        <w:spacing w:before="240" w:after="283"/>
        <w:jc w:val="left"/>
        <w:rPr>
          <w:rFonts w:ascii="Times New Roman" w:hAnsi="Times New Roman"/>
          <w:sz w:val="20"/>
        </w:rPr>
      </w:pPr>
      <w:r>
        <w:rPr>
          <w:rFonts w:ascii="Times New Roman" w:hAnsi="Times New Roman"/>
          <w:i/>
          <w:color w:val="000000"/>
          <w:sz w:val="20"/>
        </w:rPr>
        <w:t>Loss on Debt Extinguishment.</w:t>
      </w:r>
      <w:r>
        <w:rPr>
          <w:rFonts w:ascii="Times New Roman" w:hAnsi="Times New Roman"/>
          <w:color w:val="000000"/>
          <w:sz w:val="20"/>
        </w:rPr>
        <w:t xml:space="preserve"> Loss on debt extinguishment was $0.0 million for both the three months ended June 30, 2024 and 2023. </w:t>
      </w:r>
    </w:p>
    <w:p>
      <w:pPr>
        <w:pStyle w:val="TextBody"/>
        <w:bidi w:val="0"/>
        <w:spacing w:before="24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Other expense, net was expense of less than $0.1 million for both the three months ended June 30, 2024 and 2023.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2024 and 2023 (dollars in thousands)</w:t>
      </w:r>
    </w:p>
    <w:p>
      <w:pPr>
        <w:pStyle w:val="TextBody"/>
        <w:bidi w:val="0"/>
        <w:spacing w:before="120" w:after="283"/>
        <w:jc w:val="left"/>
        <w:rPr/>
      </w:pPr>
      <w:r>
        <w:rPr/>
        <w:t> </w:t>
      </w:r>
    </w:p>
    <w:tbl>
      <w:tblPr>
        <w:tblW w:w="8712" w:type="dxa"/>
        <w:jc w:val="left"/>
        <w:tblInd w:w="0" w:type="dxa"/>
        <w:tblLayout w:type="fixed"/>
        <w:tblCellMar>
          <w:top w:w="28" w:type="dxa"/>
          <w:left w:w="28" w:type="dxa"/>
          <w:bottom w:w="28" w:type="dxa"/>
          <w:right w:w="28" w:type="dxa"/>
        </w:tblCellMar>
      </w:tblPr>
      <w:tblGrid>
        <w:gridCol w:w="3156"/>
        <w:gridCol w:w="146"/>
        <w:gridCol w:w="211"/>
        <w:gridCol w:w="736"/>
        <w:gridCol w:w="271"/>
        <w:gridCol w:w="146"/>
        <w:gridCol w:w="211"/>
        <w:gridCol w:w="736"/>
        <w:gridCol w:w="271"/>
        <w:gridCol w:w="146"/>
        <w:gridCol w:w="211"/>
        <w:gridCol w:w="631"/>
        <w:gridCol w:w="166"/>
        <w:gridCol w:w="146"/>
        <w:gridCol w:w="146"/>
        <w:gridCol w:w="571"/>
        <w:gridCol w:w="81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94.7</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91.6</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88.0</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87.6</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44.4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54.4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85.7</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84.8</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811" w:type="dxa"/>
            <w:tcBorders/>
            <w:shd w:fill="CFF0FC"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811" w:type="dxa"/>
            <w:tcBorders/>
            <w:shd w:fill="FFFFFF" w:val="clear"/>
            <w:vAlign w:val="center"/>
          </w:tcPr>
          <w:p>
            <w:pPr>
              <w:pStyle w:val="TableContents"/>
              <w:bidi w:val="0"/>
              <w:spacing w:before="0" w:after="283"/>
              <w:jc w:val="righ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Revenue for the six months ended June 30, 2024 was $40.6 million, a decrease of $1.7 million, or 3.9%, from the prior year comparable period. The overall decrease in Surgical Glaucoma revenue was primarily attributable to a decrease in the number of OMNI units sold in the six months ended June 30, 2024. This decline in units sold was primarily driven by a decrease in unit utilization per ordering facility and a lower average selling price primarily due to product mix. Our Dry Eye revenue decreased 40.1% in the six months ended June 30, 2024 versus the prior year comparable period primarily due to fewer new customers added in the period, which led to lower SmartHub revenue and fewer SmartLids purchased, partially offset by a higher average selling price for SmartHubs.</w:t>
      </w:r>
    </w:p>
    <w:p>
      <w:pPr>
        <w:pStyle w:val="TextBody"/>
        <w:bidi w:val="0"/>
        <w:spacing w:before="24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Cost of goods sold was $5.8 million during the six months ended June 30, 2024, a decrease of $0.6 million from $6.4 million in the prior year comparable period. Our Surgical Glaucoma cost of goods sold decreased $0.2 million as compared to the prior year comparable period. The decrease was primarily driven by product sales mix and a one-time prior year inventory scrap expense. Our Dry Eye cost of goods sold decreased $0.4 million in the six months ended June 30, 2024 compared to the prior year comparable period, primarily driven by lower sales volumes and product mix.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Gross Profit. </w:t>
      </w:r>
      <w:r>
        <w:rPr>
          <w:rFonts w:ascii="Times New Roman" w:hAnsi="Times New Roman"/>
          <w:color w:val="000000"/>
          <w:sz w:val="20"/>
        </w:rPr>
        <w:t xml:space="preserve">Our total gross profit was $34.8 million in the six months ended June 30, 2024, a decrease of $1.1 million from the prior year comparable period. Our total gross margin for the six months ended June 30, 2024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to 85.7%, up from 84.8% in the prior year comparable period. Gross margin in our Surgical Glaucoma segment was 88.0% for the six months ended June 30, 2024, an increase from 87.6% for the prior year comparable period, primarily due to a one-time prior year inventory scrap expense. In our Dry Eye segment, gross margin decreased from 54.4% in the six months ended June 30, 2023 to 44.4% in the six months ended June 30, 2024, primarily due to product sales mix and higher overhead costs per unit due to lower volumes.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R&amp;D expenses during the six months ended June 30, 2024 decreased $0.9 million, or 9.5%, to $9.0 million. The decrease was primarily driven by a $0.7 million decrease in clinical studies and general research and development expenses, as well as $0.6 million decrease in payroll expenses. These were partially offset by a $0.3 million increase in legal and stock-based compensation expenses. </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SG&amp;A expenses were $53.2 million for the six months ended June 30, 2024, a decrease of $5.5 million from the prior year comparable period. The decrease was primarily driven by a $5.9 million decrease in personnel expenses, including lower commissions during the current period. In addition, the Company saw a $2.2 million decrease in marketing expenses, including sales training and demos, a $1.1 million decrease in travel and entertainment expenses, and a $0.6 million decrease in facilities expenses. These decreases were partially offset by a $3.4 million increase in accounting and legal expenses, as well as a $1.4 million increase in stock-based compensation expenses.</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Income</w:t>
      </w:r>
      <w:r>
        <w:rPr>
          <w:rFonts w:ascii="Times New Roman" w:hAnsi="Times New Roman"/>
          <w:color w:val="000000"/>
          <w:sz w:val="20"/>
        </w:rPr>
        <w:t xml:space="preserve">. Investment income was $3.2 million for the six months ended June 30, 2024, a decline of $0.4 million from the prior year comparable period. The decline was due to lower investment balances during the current year.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decreased $0.3 million, due to lower lending rates associated with the refinanced debt agreement during the six months ended June 30, 2024 compared to the six months ended June 30, 2023. </w:t>
      </w:r>
    </w:p>
    <w:p>
      <w:pPr>
        <w:pStyle w:val="TextBody"/>
        <w:bidi w:val="0"/>
        <w:spacing w:before="240" w:after="283"/>
        <w:jc w:val="left"/>
        <w:rPr>
          <w:rFonts w:ascii="Times New Roman" w:hAnsi="Times New Roman"/>
          <w:sz w:val="20"/>
        </w:rPr>
      </w:pPr>
      <w:r>
        <w:rPr>
          <w:rFonts w:ascii="Times New Roman" w:hAnsi="Times New Roman"/>
          <w:i/>
          <w:color w:val="000000"/>
          <w:sz w:val="20"/>
        </w:rPr>
        <w:t>Loss on Debt Extinguishment.</w:t>
      </w:r>
      <w:r>
        <w:rPr>
          <w:rFonts w:ascii="Times New Roman" w:hAnsi="Times New Roman"/>
          <w:color w:val="000000"/>
          <w:sz w:val="20"/>
        </w:rPr>
        <w:t xml:space="preserve"> Loss on debt extinguishment was $2.0 million for the six months ended June 30, 2024 as compared to $0.0 million in the six months ended June 30, 2023. The increase in the current year is driven by the Company's loss on the termination and settlement of the MidCap Term Loan.</w:t>
      </w:r>
    </w:p>
    <w:p>
      <w:pPr>
        <w:pStyle w:val="TextBody"/>
        <w:bidi w:val="0"/>
        <w:spacing w:before="24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Other expense, net was expense of $0.1 million and $0.0 million for the six months ended June 30, 2024 and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before="120" w:after="283"/>
        <w:jc w:val="left"/>
        <w:rPr/>
      </w:pPr>
      <w:r>
        <w:rPr/>
        <w:t> </w:t>
      </w:r>
    </w:p>
    <w:tbl>
      <w:tblPr>
        <w:tblW w:w="6779"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2024 was $19.3 million, consisting primarily of a net loss of $28.6 million, as well as a net change in our operating assets and liabilities of $1.4 million, partially offset by non-cash charges of $10.7 million. The net change in our operating assets and liabilities was primarily due to a $5.7 million increase in accounts receivable and a $1.3 million decrease in other noncurrent liabilities. Accrued and other current liabilities increased $1.9 million, while both inventory and prepaid expenses and other current assets increased by $1.2 million. In addition, accrued compensation increased by $0.9 million and accounts payable increased by $0.6 million. The non-cash charges primarily consisted of $8.8 million related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$1.0 million of noncash loss on the extinguishment of debt, $0.4 million of depreciation and amortization and $0.3 million of noncash operating lease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2023 was $30.9 million, consisting primarily of a net loss of $31.8 million and a net change in our operating assets and liabilities of $7.7 million, partially offset by non-cash charges of $8.7 million. The net change in our operating assets and liabilities was primarily due to a $3.0 million increase in accounts receivable and a $2.0 million increase in inventory to support the continued growth of our operations. We had a $0.2 million increase in accounts payable, while accrued compensation and accrued and other current liabilities decreased by an aggregate of $4.5 million, primarily driven by the timing of payments on invoices and bonuses. The non-cash charges primarily consisted of $7.3 million related to stock-based compensation, $0.5 million of noncash operating lease expense, $0.3 million of depreciation, and $0.3 million of accretion of debt discount and amortization of debt issuance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2024 and 2023 was $0.2 million and $0.2 million, respectively, in both cases for purchases of property and equipment.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(Used in) Provided by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financing activities for the six months ended June 30, 2024 was $0.5 million, consisting primarily of the costs associated with the refinancing of the outstanding term loan agreement. Net cash provided by financing activities for the six months ended June 30, 2023 of $0.6 million, which primarily relates to the exercise of common stock options and proceeds from employee stock plan purchases, partially offset by taxes paid on the net share settlement of restricted stock units.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date, our primary sources of capital have been private placements of redeemable convertible preferred stock, debt financing agreements, the sale of common stock in our IPO, and revenue from the sale of our products. Since our inception, we have raised an aggregate of approximately $402.4 million in net proceeds from sales of our redeemable convertible preferred stock and common stock and borrowed $32.9 million of net proceeds under our term loans. In January 2024, we entered into a Loan and Security Agreement (the “Hercules Loan Agreement”) with Hercules Capital, Inc (“Hercules”) and certain of its affiliates (collectively with Hercules, the “Lenders”), which provides for a senior secured term loan facility in the aggregate principal amount of up to $65.0 million. We used the proceeds from an initial $35.0 million tranche funded under the Hercules Loan Agreement to discharge our indebtedness under our prior secured credit facility with MidCap Financial Services and certain of its affiliates (the “Prior Lenders”). While our indebtedness to Lenders remains outstanding, we are required to use commercially reasonable efforts to grant to Lenders the option to invest up to $3.0 million in our next round of equity financing, if any, broadly marketed to multiple investors on the same terms, conditions and pricing offered to investors in such subsequent equity financing.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June 30, 2024, we had cash and cash equivalents of $118.2 million, an accumulated deficit of $323.4 million and $35.0 million outstanding under our term loan agreement (before debt discount) with Hercules. Based on our current planned operations, we expect our cash and cash equivalents and additional borrowings available under the Hercules Loan Agreement will enable us to fund our operations for at least the next 12 months and the foreseeable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Hercules Capital Loan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Hercules Loan Agreement provides for a senior secured term loan facility in the aggregate principal amount of up to $65.0 million. An initial tranche of $35.0 million (the “Initial Loan”) was funded under the Hercules Loan Agreement on January 22, 2024 (the “Closing Date”). In addition to the Initial Loan, the Hercules Loan Agreement provides for additional tranches as follows: $5.0 million available in a single draw through December 15, 2024, $10.0 million available to draw upon the achievement of certain performance milestones through September 15, 2025, and $15.0 million available for us to draw on through the interest only period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increments of $5.0 million, subject to the sole approval of Hercules' investment committee (the “Tranche Loans,” and together with the Initial Loan, the “Term Loans”).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Hercules Loan Agreement includes a maturity date of July 1, 2028, with an interest only period running for 30 months, extendable for an additional 6 months for a total of 36 months upon the achievement of certain milestones. The Term Loans accurate interest at a floating annual rate of the greater of 10.35% or the Wall Street Journal prime rate plus 2.35%, with the initial interest rate under the Term Loans equal to 10.85%. The final payment fee is set at 5.95% of the funded balance. In conjunction with the funding of the Initial Loan, we issued warrants to the Lenders to purchase up to an aggregate of 135,686 shares of our common stock at an exercise price of $5.159 per share. Each warrant is exercisable for a period of seven years from the date of issuance and is tradeable in accordance with the provisions of Rule 144 of the Securities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obligations under the Hercules Loan Agreement are guaranteed by us and our future subsidiaries, subject to exceptions for certain foreign subsidiaries. Our obligations under the agreement are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 We are also subject to certain minimum cash and revenue covenants under the Hercules Loan Agreement.</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MidCap Loan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2019, we entered into credit and security agreements with the Prior Lenders. These agreements were amended and restated in November 2020, providing for a maximum $40.0 million credit facility consisting of a $35.0 million senior secured term loan (the "2020 Term Loan") and a $5.0 million revolving loan (the "2020 Revolver” and together with the 2020 Term Loan, the “MidCap Credit Facility”). In July 2023, we terminated the 2020 Revolver. In January 2024, we terminated the Amended and Restated Credit and Security Agreement (Term Loan) “(the “MidCap Term Loan Agreement”) and paid off in full the secured obligations thereunder in connection with our entry into the Hercules Loan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MidCap Term Loan Agreement extended the maturity date of the 2020 Term Loan to November 1, 2025 and adjusted the stated floating interest rate to reserve-adjusted SOFR, plus 7.00%. Principal payments under the MidCap Term Loan Agreement were extended and scheduled to begin in December 2024. The final payment fee was amended to 6.0%.</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obligations under the MidCap Term Loan Agreement were guaranteed by us and our future subsidiaries, subject to exceptions for certain foreign subsidiaries. Our obligations under the agreements were secured by substantially all of our assets, including our material intellectual property. Additionally, we were subject to customary affirmative and negative covenants, including covenants that limited or restricted our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MidCap Credit Term Loan Agreement contained events of default that included, among others, non-payment of principal, interest or fees, breach of covenants, inaccuracy of representations and warranties, cross-defaults and bankruptcy and insolvency events.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Leases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corporate headquarters are located in Menlo Park, California, where we lease approximately 11,000 square feet of office, research and development, engineering and laboratory space pursuant to a lease that commenced on August 1, 2021, and expires on October 31, 2026.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unaudited condensed consolidated financial statements included elsewhere in this Quarterly Report have been prepared in accordance with U.S. generally accepted accounting principles. The preparation of these condensed consolidated financial statements requires us to make estimates and assumptions that affect the reported amounts of assets, liabilities, revenue, expenses and related disclosures. Our estimates are based on our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accounting estimate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stock-based compensation expense have the greatest potential impact on our condensed consolidated financial statements. Therefore, we consider this to be a critical accounting estimate.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as compared to the critical accounting estimates described in our audited consolidated financial statements for the year ended December 31, 2023, included under the heading “Management’s Discussion and Analysis of Financial Condition and Results of Operations—Critical Accounting Estimates” in our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 statements to those of other public companies more difficult.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Summary of Significant Accounting Policies, in the notes to our unaudited condensed consolidated financial statements in this Quarterly Report for recent accounting pronouncements not yet adopted as of the date hereof.</w:t>
      </w:r>
    </w:p>
    <w:p>
      <w:pPr>
        <w:pStyle w:val="TextBody"/>
        <w:bidi w:val="0"/>
        <w:spacing w:before="24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include interest rate risk. There have been no material changes to such risks from those described in our Annual Report under the heading "Quantitative and Qualitative Disclosures About Market Risk."</w:t>
      </w:r>
    </w:p>
    <w:p>
      <w:pPr>
        <w:pStyle w:val="TextBody"/>
        <w:bidi w:val="0"/>
        <w:spacing w:before="24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and supervision of our principal executive officer and our principal financial and accounting officer, evaluated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including its principal executive officer, and principal financial and accounting officer,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this evaluation, our principal executive officer and principal financial and accounting officer concluded that, as of the end of the period covered by this Quarterly Report, our disclosure controls and procedures were effective at a reasonable assurance level. </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pStyle w:val="TextBody"/>
        <w:bidi w:val="0"/>
        <w:spacing w:before="24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set forth in Note 6, Commitments and Contingencies, in the notes to the unaudited condensed consolidated financial statements in this Quarterly Report,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we may,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and results of operations. Additionally, any such claims, whether or not successful, could damage our reputation and business, and may have an adverse impact on us as a result of defense and settlement costs, diversion of management time and resources, and other factors.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aware of any material changes to the risks and uncertainties described under the heading "Risk Factors" in our Annual Report or Quarterly Report on Form 10-Q for the three months ended March 31, 2024, which are incorporated herein by reference. The risks described in our Annual Report and our Quarterly Report on Form 10-Q for the three months ended March 31, 2024 are not the only ones we face. Additional risks we currently do not know about or that we currently believe to be immaterial may also impair our business, financial condition, operating results, liquidity, and future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14, 2021, our registration statement on Form S-1 (File No. 333-257320) relating to our initial public offering ("IPO") of common stock became effective. The IPO closed on July 15, 2021, at which time we issued 11,500,000 shares of our common stock at a price of $24.00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our IPO as described in our final prospectus dated July 14, 2021 and filed with the SEC on July 15, 2021 pursuant to Rule 424(b) under the Securities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There were no sales of unregistered equity securities during the quarter ended June 30, 2024 that were not previously reported in a Current Report on Form 8-K.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June 30, 2024, no director or Section 16 officer adopted, modified, or terminated any Rule 10b5-1 trading arrangements or non-Rule 10b5-1 trading arrangements.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or furnished as a part of, or incorporated by reference into, this Quarterly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9"/>
        <w:gridCol w:w="146"/>
        <w:gridCol w:w="3775"/>
        <w:gridCol w:w="146"/>
        <w:gridCol w:w="1400"/>
        <w:gridCol w:w="146"/>
        <w:gridCol w:w="643"/>
        <w:gridCol w:w="146"/>
        <w:gridCol w:w="676"/>
        <w:gridCol w:w="146"/>
        <w:gridCol w:w="648"/>
        <w:gridCol w:w="146"/>
        <w:gridCol w:w="1258"/>
      </w:tblGrid>
      <w:tr>
        <w:trPr/>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9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Filing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Filed/Furnished Herewith</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Restated Certificate of Incorporation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Bylaws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pPr>
            <w:hyperlink w:anchor="sght-ex31_1.htm">
              <w:r>
                <w:rPr>
                  <w:rStyle w:val="InternetLink"/>
                  <w:rFonts w:ascii="Times New Roman" w:hAnsi="Times New Roman"/>
                  <w:color w:val="0000FF"/>
                  <w:sz w:val="18"/>
                  <w:u w:val="single"/>
                </w:rPr>
                <w:t>Certification of the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pPr>
            <w:hyperlink w:anchor="sght-ex31_2.htm">
              <w:r>
                <w:rPr>
                  <w:rStyle w:val="InternetLink"/>
                  <w:rFonts w:ascii="Times New Roman" w:hAnsi="Times New Roman"/>
                  <w:color w:val="0000FF"/>
                  <w:sz w:val="18"/>
                  <w:u w:val="single"/>
                </w:rPr>
                <w:t>Certification of the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pPr>
            <w:hyperlink w:anchor="sght-ex32_1.htm">
              <w:r>
                <w:rPr>
                  <w:rStyle w:val="InternetLink"/>
                  <w:rFonts w:ascii="Times New Roman" w:hAnsi="Times New Roman"/>
                  <w:color w:val="0000FF"/>
                  <w:sz w:val="18"/>
                  <w:u w:val="single"/>
                </w:rPr>
                <w:t>Certification of the Chief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pPr>
            <w:hyperlink w:anchor="sght-ex32_2.htm">
              <w:r>
                <w:rPr>
                  <w:rStyle w:val="InternetLink"/>
                  <w:rFonts w:ascii="Times New Roman" w:hAnsi="Times New Roman"/>
                  <w:color w:val="0000FF"/>
                  <w:sz w:val="18"/>
                  <w:u w:val="single"/>
                </w:rPr>
                <w:t>Certification of the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Furnished herewith.</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120" w:after="283"/>
        <w:jc w:val="left"/>
        <w:rPr/>
      </w:pPr>
      <w:r>
        <w:rPr/>
        <w:t> </w:t>
      </w:r>
    </w:p>
    <w:tbl>
      <w:tblPr>
        <w:tblW w:w="6967" w:type="dxa"/>
        <w:jc w:val="left"/>
        <w:tblInd w:w="0" w:type="dxa"/>
        <w:tblLayout w:type="fixed"/>
        <w:tblCellMar>
          <w:top w:w="28" w:type="dxa"/>
          <w:left w:w="28" w:type="dxa"/>
          <w:bottom w:w="28" w:type="dxa"/>
          <w:right w:w="28" w:type="dxa"/>
        </w:tblCellMar>
      </w:tblPr>
      <w:tblGrid>
        <w:gridCol w:w="1846"/>
        <w:gridCol w:w="109"/>
        <w:gridCol w:w="406"/>
        <w:gridCol w:w="46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SIGHT SCIENCES,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6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Alison Bauerlein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Alison Bauerlein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 and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bookmarkStart w:id="22" w:name="sght-ex31_1.htm"/>
      <w:bookmarkStart w:id="23" w:name="kssghtex31_1"/>
      <w:bookmarkEnd w:id="22"/>
      <w:bookmarkEnd w:id="23"/>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Paul Badawi,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2024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1906"/>
        <w:gridCol w:w="246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283"/>
              <w:jc w:val="left"/>
              <w:rPr/>
            </w:pPr>
            <w:r>
              <w:rPr/>
              <w:t> </w:t>
            </w:r>
          </w:p>
        </w:tc>
        <w:tc>
          <w:tcPr>
            <w:tcW w:w="2461"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pPr>
            <w:r>
              <w:rPr/>
              <w:t> </w:t>
            </w:r>
          </w:p>
        </w:tc>
      </w:tr>
      <w:tr>
        <w:trPr/>
        <w:tc>
          <w:tcPr>
            <w:tcW w:w="19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August 2, 2024</w:t>
            </w:r>
          </w:p>
        </w:tc>
        <w:tc>
          <w:tcPr>
            <w:tcW w:w="2461" w:type="dxa"/>
            <w:tcBorders/>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Paul Badawi</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jc w:val="right"/>
              <w:rPr>
                <w:rFonts w:ascii="Times New Roman" w:hAnsi="Times New Roman"/>
                <w:color w:val="000000"/>
                <w:sz w:val="20"/>
              </w:rPr>
            </w:pPr>
            <w:r>
              <w:rPr>
                <w:rFonts w:ascii="Times New Roman" w:hAnsi="Times New Roman"/>
                <w:color w:val="000000"/>
                <w:sz w:val="20"/>
              </w:rPr>
              <w:t>Paul Badawi</w:t>
            </w:r>
          </w:p>
          <w:p>
            <w:pPr>
              <w:pStyle w:val="TableContents"/>
              <w:bidi w:val="0"/>
              <w:jc w:val="righ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bookmarkStart w:id="24" w:name="sght-ex31_2.htm"/>
      <w:bookmarkStart w:id="25" w:name="kssght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Alison Bauerlein,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2024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303" w:type="dxa"/>
        <w:jc w:val="left"/>
        <w:tblInd w:w="0" w:type="dxa"/>
        <w:tblLayout w:type="fixed"/>
        <w:tblCellMar>
          <w:top w:w="28" w:type="dxa"/>
          <w:left w:w="28" w:type="dxa"/>
          <w:bottom w:w="28" w:type="dxa"/>
          <w:right w:w="28" w:type="dxa"/>
        </w:tblCellMar>
      </w:tblPr>
      <w:tblGrid>
        <w:gridCol w:w="1846"/>
        <w:gridCol w:w="526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 2024</w:t>
            </w:r>
          </w:p>
        </w:tc>
        <w:tc>
          <w:tcPr>
            <w:tcW w:w="526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Alison Bauerlein</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jc w:val="right"/>
              <w:rPr>
                <w:rFonts w:ascii="Times New Roman" w:hAnsi="Times New Roman"/>
                <w:color w:val="000000"/>
                <w:sz w:val="20"/>
              </w:rPr>
            </w:pPr>
            <w:r>
              <w:rPr>
                <w:rFonts w:ascii="Times New Roman" w:hAnsi="Times New Roman"/>
                <w:color w:val="000000"/>
                <w:sz w:val="20"/>
              </w:rPr>
              <w:t>Alison Bauerlein</w:t>
              <w:br/>
              <w:t>Chief Financial Officer</w:t>
            </w:r>
          </w:p>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(Principal Financial Officer and Principal Accounting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bookmarkStart w:id="26" w:name="sght-ex32_1.htm"/>
      <w:bookmarkStart w:id="27" w:name="kssghtex32_1"/>
      <w:bookmarkEnd w:id="26"/>
      <w:bookmarkEnd w:id="27"/>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his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June 30, 2024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6392" w:type="dxa"/>
        <w:jc w:val="left"/>
        <w:tblInd w:w="0" w:type="dxa"/>
        <w:tblLayout w:type="fixed"/>
        <w:tblCellMar>
          <w:top w:w="28" w:type="dxa"/>
          <w:left w:w="28" w:type="dxa"/>
          <w:bottom w:w="28" w:type="dxa"/>
          <w:right w:w="28" w:type="dxa"/>
        </w:tblCellMar>
      </w:tblPr>
      <w:tblGrid>
        <w:gridCol w:w="1951"/>
        <w:gridCol w:w="4441"/>
      </w:tblGrid>
      <w:tr>
        <w:trPr/>
        <w:tc>
          <w:tcPr>
            <w:tcW w:w="19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2, 2024</w:t>
            </w:r>
          </w:p>
        </w:tc>
        <w:tc>
          <w:tcPr>
            <w:tcW w:w="4441" w:type="dxa"/>
            <w:tcBorders/>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Paul Badawi</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Paul Badawi</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Chief Executive Officer (Principal Executive Officer)</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8" w:name="sght-ex32_2.htm"/>
      <w:bookmarkStart w:id="29" w:name="kssghtex32_2"/>
      <w:bookmarkEnd w:id="28"/>
      <w:bookmarkEnd w:id="29"/>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her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June 30, 2024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9002" w:type="dxa"/>
        <w:jc w:val="left"/>
        <w:tblInd w:w="0" w:type="dxa"/>
        <w:tblLayout w:type="fixed"/>
        <w:tblCellMar>
          <w:top w:w="28" w:type="dxa"/>
          <w:left w:w="28" w:type="dxa"/>
          <w:bottom w:w="28" w:type="dxa"/>
          <w:right w:w="28" w:type="dxa"/>
        </w:tblCellMar>
      </w:tblPr>
      <w:tblGrid>
        <w:gridCol w:w="1951"/>
        <w:gridCol w:w="7051"/>
      </w:tblGrid>
      <w:tr>
        <w:trPr/>
        <w:tc>
          <w:tcPr>
            <w:tcW w:w="1951" w:type="dxa"/>
            <w:tcBorders/>
            <w:vAlign w:val="center"/>
          </w:tcPr>
          <w:p>
            <w:pPr>
              <w:pStyle w:val="TableContents"/>
              <w:bidi w:val="0"/>
              <w:spacing w:before="0" w:after="283"/>
              <w:jc w:val="left"/>
              <w:rPr>
                <w:sz w:val="4"/>
                <w:szCs w:val="4"/>
              </w:rPr>
            </w:pPr>
            <w:r>
              <w:rPr>
                <w:sz w:val="4"/>
                <w:szCs w:val="4"/>
              </w:rPr>
            </w:r>
          </w:p>
        </w:tc>
        <w:tc>
          <w:tcPr>
            <w:tcW w:w="705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2, 2024</w:t>
            </w:r>
          </w:p>
        </w:tc>
        <w:tc>
          <w:tcPr>
            <w:tcW w:w="7051" w:type="dxa"/>
            <w:tcBorders/>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Alison Bauerlein</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705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Alison Bauerlein</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705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Chief Financial Officer (Principal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1177/000119312521218705/d116785dex31.htm" TargetMode="External"/><Relationship Id="rId3" Type="http://schemas.openxmlformats.org/officeDocument/2006/relationships/hyperlink" Target="https://www.sec.gov/Archives/edgar/data/1531177/000119312521218705/d116785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18507</Words>
  <Characters>101264</Characters>
  <CharactersWithSpaces>120864</CharactersWithSpaces>
  <Paragraphs>5236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